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B01" w:rsidRDefault="00585463" w:rsidP="00EC108A">
      <w:r w:rsidRPr="00CA513B">
        <w:rPr>
          <w:rStyle w:val="Strong"/>
          <w:noProof/>
          <w:color w:val="1F497D" w:themeColor="text2"/>
        </w:rPr>
        <mc:AlternateContent>
          <mc:Choice Requires="wps">
            <w:drawing>
              <wp:anchor distT="91440" distB="91440" distL="114300" distR="114300" simplePos="0" relativeHeight="251659264" behindDoc="0" locked="0" layoutInCell="0" allowOverlap="1" wp14:anchorId="02C0B000" wp14:editId="352C928B">
                <wp:simplePos x="0" y="0"/>
                <wp:positionH relativeFrom="margin">
                  <wp:posOffset>4943475</wp:posOffset>
                </wp:positionH>
                <wp:positionV relativeFrom="margin">
                  <wp:posOffset>-285750</wp:posOffset>
                </wp:positionV>
                <wp:extent cx="2781300" cy="1990725"/>
                <wp:effectExtent l="38100" t="38100" r="114300" b="123825"/>
                <wp:wrapSquare wrapText="bothSides"/>
                <wp:docPr id="698"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781300" cy="199072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FA2661">
                              <w:rPr>
                                <w:rStyle w:val="Strong"/>
                                <w:color w:val="1F497D" w:themeColor="text2"/>
                              </w:rPr>
                              <w:t xml:space="preserve"> August 6</w:t>
                            </w:r>
                            <w:r w:rsidR="00051E6B">
                              <w:rPr>
                                <w:rStyle w:val="Strong"/>
                                <w:color w:val="1F497D" w:themeColor="text2"/>
                              </w:rPr>
                              <w:t>,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Rectangle 396" o:spid="_x0000_s1026" style="position:absolute;margin-left:389.25pt;margin-top:-22.5pt;width:219pt;height:156.75pt;flip:x;z-index:25165926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" o:allowincell="f" fillcolor="white [3212]" strokecolor="gray [1629]" strokeweight="1.5pt">
                <v:shadow on="t" type="perspective" color="black" opacity="26214f" origin="-.5,-.5" offset=".74836mm,.74836mm" matrix="65864f,,,65864f"/>
                <v:textbox inset="21.6pt,21.6pt,21.6pt,21.6pt">
                  <w:txbxContent>
                    <w:p w:rsidR="0061044D" w:rsidRPr="00E039E1" w:rsidRDefault="0061044D" w:rsidP="00CA513B">
                      <w:pPr>
                        <w:pStyle w:val="NoSpacing"/>
                        <w:rPr>
                          <w:rStyle w:val="Strong"/>
                          <w:color w:val="1F497D" w:themeColor="text2"/>
                        </w:rPr>
                      </w:pPr>
                      <w:r>
                        <w:rPr>
                          <w:rStyle w:val="Strong"/>
                          <w:color w:val="1F497D" w:themeColor="text2"/>
                        </w:rPr>
                        <w:t>Delivery System Reform</w:t>
                      </w:r>
                      <w:r w:rsidRPr="00E039E1">
                        <w:rPr>
                          <w:rStyle w:val="Strong"/>
                          <w:color w:val="1F497D" w:themeColor="text2"/>
                        </w:rPr>
                        <w:t xml:space="preserve"> </w:t>
                      </w:r>
                      <w:r>
                        <w:rPr>
                          <w:rStyle w:val="Strong"/>
                          <w:color w:val="1F497D" w:themeColor="text2"/>
                        </w:rPr>
                        <w:t xml:space="preserve">Subcommittee </w:t>
                      </w:r>
                    </w:p>
                    <w:p w:rsidR="0061044D" w:rsidRPr="00E039E1" w:rsidRDefault="0061044D" w:rsidP="00CA513B">
                      <w:pPr>
                        <w:pStyle w:val="NoSpacing"/>
                        <w:rPr>
                          <w:rStyle w:val="Strong"/>
                          <w:color w:val="1F497D" w:themeColor="text2"/>
                        </w:rPr>
                      </w:pPr>
                      <w:r w:rsidRPr="00E039E1">
                        <w:rPr>
                          <w:rStyle w:val="Strong"/>
                          <w:color w:val="1F497D" w:themeColor="text2"/>
                        </w:rPr>
                        <w:t>Date:</w:t>
                      </w:r>
                      <w:r w:rsidR="00FA2661">
                        <w:rPr>
                          <w:rStyle w:val="Strong"/>
                          <w:color w:val="1F497D" w:themeColor="text2"/>
                        </w:rPr>
                        <w:t xml:space="preserve"> August 6</w:t>
                      </w:r>
                      <w:r w:rsidR="00051E6B">
                        <w:rPr>
                          <w:rStyle w:val="Strong"/>
                          <w:color w:val="1F497D" w:themeColor="text2"/>
                        </w:rPr>
                        <w:t>, 2014</w:t>
                      </w:r>
                    </w:p>
                    <w:p w:rsidR="0061044D" w:rsidRPr="00E039E1" w:rsidRDefault="0061044D" w:rsidP="00CA513B">
                      <w:pPr>
                        <w:pStyle w:val="NoSpacing"/>
                        <w:rPr>
                          <w:rStyle w:val="Strong"/>
                          <w:color w:val="1F497D" w:themeColor="text2"/>
                        </w:rPr>
                      </w:pPr>
                      <w:r w:rsidRPr="00E039E1">
                        <w:rPr>
                          <w:rStyle w:val="Strong"/>
                          <w:color w:val="1F497D" w:themeColor="text2"/>
                        </w:rPr>
                        <w:t>Time:</w:t>
                      </w:r>
                      <w:r>
                        <w:rPr>
                          <w:rStyle w:val="Strong"/>
                          <w:color w:val="1F497D" w:themeColor="text2"/>
                        </w:rPr>
                        <w:t xml:space="preserve"> 10:00 to Noon</w:t>
                      </w:r>
                    </w:p>
                    <w:p w:rsidR="0061044D" w:rsidRDefault="0061044D" w:rsidP="00CA513B">
                      <w:pPr>
                        <w:pStyle w:val="NoSpacing"/>
                        <w:rPr>
                          <w:rStyle w:val="Strong"/>
                          <w:color w:val="1F497D" w:themeColor="text2"/>
                        </w:rPr>
                      </w:pPr>
                      <w:r w:rsidRPr="00E039E1">
                        <w:rPr>
                          <w:rStyle w:val="Strong"/>
                          <w:color w:val="1F497D" w:themeColor="text2"/>
                        </w:rPr>
                        <w:t>Location:</w:t>
                      </w:r>
                      <w:r>
                        <w:rPr>
                          <w:rStyle w:val="Strong"/>
                          <w:color w:val="1F497D" w:themeColor="text2"/>
                        </w:rPr>
                        <w:t xml:space="preserve"> Cohen Center, Maxwell Room</w:t>
                      </w:r>
                    </w:p>
                    <w:p w:rsidR="0061044D" w:rsidRDefault="0061044D" w:rsidP="00CA513B">
                      <w:pPr>
                        <w:pStyle w:val="NoSpacing"/>
                        <w:rPr>
                          <w:rStyle w:val="Strong"/>
                          <w:color w:val="1F497D" w:themeColor="text2"/>
                        </w:rPr>
                      </w:pPr>
                      <w:r>
                        <w:rPr>
                          <w:rStyle w:val="Strong"/>
                          <w:color w:val="1F497D" w:themeColor="text2"/>
                        </w:rPr>
                        <w:t>Call In Number: 1-866-740-1260</w:t>
                      </w:r>
                    </w:p>
                    <w:p w:rsidR="0061044D" w:rsidRDefault="0061044D" w:rsidP="00CA513B">
                      <w:pPr>
                        <w:pStyle w:val="NoSpacing"/>
                        <w:rPr>
                          <w:rStyle w:val="Strong"/>
                          <w:color w:val="1F497D" w:themeColor="text2"/>
                        </w:rPr>
                      </w:pPr>
                      <w:r>
                        <w:rPr>
                          <w:rStyle w:val="Strong"/>
                          <w:color w:val="1F497D" w:themeColor="text2"/>
                        </w:rPr>
                        <w:t>Access Code: 7117361#</w:t>
                      </w:r>
                    </w:p>
                    <w:p w:rsidR="0061044D" w:rsidRDefault="0061044D" w:rsidP="00CA513B">
                      <w:pPr>
                        <w:pStyle w:val="NoSpacing"/>
                        <w:rPr>
                          <w:rStyle w:val="Strong"/>
                          <w:color w:val="1F497D" w:themeColor="text2"/>
                        </w:rPr>
                      </w:pPr>
                    </w:p>
                    <w:p w:rsidR="0061044D" w:rsidRDefault="0061044D" w:rsidP="00CA513B">
                      <w:pPr>
                        <w:pStyle w:val="NoSpacing"/>
                      </w:pPr>
                    </w:p>
                    <w:p w:rsidR="0061044D" w:rsidRDefault="0061044D">
                      <w:pPr>
                        <w:rPr>
                          <w:color w:val="4F81BD" w:themeColor="accent1"/>
                          <w:sz w:val="20"/>
                          <w:szCs w:val="20"/>
                        </w:rPr>
                      </w:pPr>
                    </w:p>
                  </w:txbxContent>
                </v:textbox>
                <w10:wrap type="square" anchorx="margin" anchory="margin"/>
              </v:rect>
            </w:pict>
          </mc:Fallback>
        </mc:AlternateContent>
      </w:r>
      <w:r w:rsidR="00FA2661">
        <w:rPr>
          <w:noProof/>
        </w:rPr>
        <w:drawing>
          <wp:inline distT="0" distB="0" distL="0" distR="0">
            <wp:extent cx="2447544"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im logo_final_1inc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7544" cy="914400"/>
                    </a:xfrm>
                    <a:prstGeom prst="rect">
                      <a:avLst/>
                    </a:prstGeom>
                  </pic:spPr>
                </pic:pic>
              </a:graphicData>
            </a:graphic>
          </wp:inline>
        </w:drawing>
      </w:r>
      <w:r w:rsidR="00CA513B">
        <w:t xml:space="preserve">                                                      </w:t>
      </w:r>
      <w:r w:rsidR="002A71DC">
        <w:t xml:space="preserve">                                   </w:t>
      </w:r>
      <w:r w:rsidR="00CA513B">
        <w:t xml:space="preserve">   </w:t>
      </w:r>
    </w:p>
    <w:p w:rsidR="00AD5607" w:rsidRDefault="00AD5607" w:rsidP="008C516A">
      <w:r>
        <w:t xml:space="preserve">   </w:t>
      </w:r>
    </w:p>
    <w:p w:rsidR="00B360D6" w:rsidRDefault="00B360D6" w:rsidP="00B360D6">
      <w:r>
        <w:rPr>
          <w:noProof/>
        </w:rPr>
        <w:drawing>
          <wp:inline distT="0" distB="0" distL="0" distR="0" wp14:anchorId="6DE46FD1" wp14:editId="6FA28D86">
            <wp:extent cx="2343150" cy="340191"/>
            <wp:effectExtent l="0" t="0" r="0" b="3175"/>
            <wp:docPr id="3" name="Picture 3" descr="C:\Users\Lisa Tuttle\AppData\Local\Microsoft\Windows\Temporary Internet Files\Content.Outlook\PRDJM42I\Q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Tuttle\AppData\Local\Microsoft\Windows\Temporary Internet Files\Content.Outlook\PRDJM42I\QC 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1" cy="340191"/>
                    </a:xfrm>
                    <a:prstGeom prst="rect">
                      <a:avLst/>
                    </a:prstGeom>
                    <a:noFill/>
                    <a:ln>
                      <a:noFill/>
                    </a:ln>
                  </pic:spPr>
                </pic:pic>
              </a:graphicData>
            </a:graphic>
          </wp:inline>
        </w:drawing>
      </w:r>
      <w:r>
        <w:t xml:space="preserve">    </w:t>
      </w:r>
    </w:p>
    <w:p w:rsidR="00B360D6" w:rsidRPr="00382C14" w:rsidRDefault="00B360D6" w:rsidP="00B360D6">
      <w:r w:rsidRPr="00382C14">
        <w:rPr>
          <w:b/>
        </w:rPr>
        <w:t xml:space="preserve">Chair: Lisa Tuttle, </w:t>
      </w:r>
      <w:r w:rsidRPr="00220051">
        <w:t>Maine Quality Counts</w:t>
      </w:r>
      <w:r w:rsidRPr="00382C14">
        <w:t xml:space="preserve"> </w:t>
      </w:r>
      <w:hyperlink r:id="rId10" w:history="1">
        <w:r w:rsidRPr="00382C14">
          <w:rPr>
            <w:rStyle w:val="Hyperlink"/>
          </w:rPr>
          <w:t>ltuttle@mainequalitycounts.org</w:t>
        </w:r>
      </w:hyperlink>
    </w:p>
    <w:p w:rsidR="00585463" w:rsidRPr="00382C14" w:rsidRDefault="00B360D6" w:rsidP="00B360D6">
      <w:pPr>
        <w:pStyle w:val="NoSpacing"/>
      </w:pPr>
      <w:r w:rsidRPr="00382C14">
        <w:rPr>
          <w:b/>
        </w:rPr>
        <w:t>Core Member Attendance:</w:t>
      </w:r>
      <w:r w:rsidR="009F7035" w:rsidRPr="00382C14">
        <w:t xml:space="preserve"> </w:t>
      </w:r>
      <w:r w:rsidRPr="00382C14">
        <w:t xml:space="preserve"> </w:t>
      </w:r>
      <w:r w:rsidR="00C05E37" w:rsidRPr="00382C14">
        <w:t xml:space="preserve"> </w:t>
      </w:r>
      <w:r w:rsidR="00CA0166">
        <w:t xml:space="preserve">Kathryn Brandt, </w:t>
      </w:r>
      <w:r w:rsidR="008B27A4">
        <w:t xml:space="preserve">Robert Downs, </w:t>
      </w:r>
      <w:r w:rsidR="00CA0166">
        <w:t xml:space="preserve">Jud Knox, </w:t>
      </w:r>
      <w:r w:rsidR="00C46971">
        <w:t xml:space="preserve">David </w:t>
      </w:r>
      <w:proofErr w:type="spellStart"/>
      <w:r w:rsidR="00C46971">
        <w:t>Lawlor</w:t>
      </w:r>
      <w:proofErr w:type="spellEnd"/>
      <w:r w:rsidR="00C46971">
        <w:t xml:space="preserve">, </w:t>
      </w:r>
      <w:r w:rsidR="00CA0166">
        <w:t>John Patten,</w:t>
      </w:r>
      <w:r w:rsidR="008B27A4">
        <w:t xml:space="preserve"> </w:t>
      </w:r>
      <w:r w:rsidR="00F81A4B">
        <w:t>Lydia Richard, Rhonda</w:t>
      </w:r>
      <w:r w:rsidR="00C46971">
        <w:t xml:space="preserve"> Selvin, </w:t>
      </w:r>
      <w:r w:rsidR="00CA0166">
        <w:t xml:space="preserve"> </w:t>
      </w:r>
      <w:r w:rsidR="00F81A4B">
        <w:t xml:space="preserve">Katie </w:t>
      </w:r>
      <w:proofErr w:type="spellStart"/>
      <w:r w:rsidR="00F81A4B">
        <w:t>Sendze</w:t>
      </w:r>
      <w:proofErr w:type="spellEnd"/>
      <w:r w:rsidR="00F81A4B">
        <w:t xml:space="preserve">, </w:t>
      </w:r>
      <w:r w:rsidR="00C360FA">
        <w:t xml:space="preserve">Catherine Ryder, </w:t>
      </w:r>
      <w:r w:rsidR="00F81A4B">
        <w:t xml:space="preserve">Betty St. </w:t>
      </w:r>
      <w:proofErr w:type="spellStart"/>
      <w:r w:rsidR="00F81A4B">
        <w:t>Hilaire</w:t>
      </w:r>
      <w:proofErr w:type="spellEnd"/>
    </w:p>
    <w:p w:rsidR="00051E6B" w:rsidRDefault="00B360D6" w:rsidP="00B360D6">
      <w:r w:rsidRPr="00382C14">
        <w:rPr>
          <w:b/>
        </w:rPr>
        <w:t>Ad-Hoc Members</w:t>
      </w:r>
      <w:r w:rsidR="00585463" w:rsidRPr="00382C14">
        <w:rPr>
          <w:b/>
        </w:rPr>
        <w:t xml:space="preserve">: </w:t>
      </w:r>
      <w:r w:rsidR="00F03098">
        <w:t xml:space="preserve"> </w:t>
      </w:r>
      <w:r w:rsidR="00051E6B">
        <w:t xml:space="preserve"> </w:t>
      </w:r>
      <w:r w:rsidR="008B27A4">
        <w:t xml:space="preserve">Regen Gallagher, Anne Graham, </w:t>
      </w:r>
      <w:r w:rsidR="00F81A4B">
        <w:t>Gerry Queally,</w:t>
      </w:r>
      <w:r w:rsidR="008B27A4" w:rsidRPr="008B27A4">
        <w:t xml:space="preserve"> </w:t>
      </w:r>
      <w:r w:rsidR="008B27A4">
        <w:t xml:space="preserve">Ellen </w:t>
      </w:r>
      <w:proofErr w:type="spellStart"/>
      <w:r w:rsidR="008B27A4">
        <w:t>Schneiter</w:t>
      </w:r>
      <w:proofErr w:type="spellEnd"/>
      <w:proofErr w:type="gramStart"/>
      <w:r w:rsidR="008B27A4">
        <w:t xml:space="preserve">, </w:t>
      </w:r>
      <w:r w:rsidR="00F81A4B">
        <w:t xml:space="preserve"> Ju</w:t>
      </w:r>
      <w:r w:rsidR="008B27A4">
        <w:t>lie</w:t>
      </w:r>
      <w:proofErr w:type="gramEnd"/>
      <w:r w:rsidR="008B27A4">
        <w:t xml:space="preserve"> </w:t>
      </w:r>
      <w:proofErr w:type="spellStart"/>
      <w:r w:rsidR="008B27A4">
        <w:t>Shackley</w:t>
      </w:r>
      <w:proofErr w:type="spellEnd"/>
      <w:r w:rsidR="00F81A4B">
        <w:t xml:space="preserve"> </w:t>
      </w:r>
    </w:p>
    <w:p w:rsidR="00B360D6" w:rsidRPr="00382C14" w:rsidRDefault="00B360D6" w:rsidP="00B360D6">
      <w:r w:rsidRPr="00382C14">
        <w:rPr>
          <w:b/>
        </w:rPr>
        <w:t>Interested Parties &amp; Guests</w:t>
      </w:r>
      <w:r w:rsidR="00B10C95" w:rsidRPr="00382C14">
        <w:rPr>
          <w:b/>
        </w:rPr>
        <w:t xml:space="preserve">: </w:t>
      </w:r>
      <w:r w:rsidR="00C05E37" w:rsidRPr="00382C14">
        <w:rPr>
          <w:b/>
        </w:rPr>
        <w:t xml:space="preserve"> </w:t>
      </w:r>
      <w:r w:rsidR="00F03098">
        <w:t xml:space="preserve"> </w:t>
      </w:r>
      <w:r w:rsidR="00051E6B">
        <w:t xml:space="preserve"> </w:t>
      </w:r>
      <w:r w:rsidR="008B27A4">
        <w:t xml:space="preserve">Becky Hayes </w:t>
      </w:r>
      <w:proofErr w:type="spellStart"/>
      <w:r w:rsidR="008B27A4">
        <w:t>Boober</w:t>
      </w:r>
      <w:proofErr w:type="spellEnd"/>
      <w:r w:rsidR="008B27A4">
        <w:t xml:space="preserve">, </w:t>
      </w:r>
      <w:r w:rsidR="00F81A4B">
        <w:t xml:space="preserve">Cathy </w:t>
      </w:r>
      <w:proofErr w:type="spellStart"/>
      <w:r w:rsidR="00F81A4B">
        <w:t>Bustin</w:t>
      </w:r>
      <w:proofErr w:type="spellEnd"/>
      <w:r w:rsidR="00F81A4B">
        <w:t xml:space="preserve">, </w:t>
      </w:r>
      <w:r w:rsidR="00C46971">
        <w:t xml:space="preserve">Randy </w:t>
      </w:r>
      <w:proofErr w:type="spellStart"/>
      <w:r w:rsidR="00C46971">
        <w:t>Chenard</w:t>
      </w:r>
      <w:proofErr w:type="spellEnd"/>
      <w:r w:rsidR="00C360FA">
        <w:t>,</w:t>
      </w:r>
      <w:r w:rsidR="00F81A4B">
        <w:t xml:space="preserve"> Anne Conners, David </w:t>
      </w:r>
      <w:proofErr w:type="spellStart"/>
      <w:r w:rsidR="00F81A4B">
        <w:t>Hanig</w:t>
      </w:r>
      <w:proofErr w:type="spellEnd"/>
      <w:r w:rsidR="00F81A4B">
        <w:t xml:space="preserve">, Barbara </w:t>
      </w:r>
      <w:proofErr w:type="spellStart"/>
      <w:r w:rsidR="00F81A4B">
        <w:t>Ginley</w:t>
      </w:r>
      <w:proofErr w:type="spellEnd"/>
      <w:r w:rsidR="00F81A4B">
        <w:t>, Sandra Parker</w:t>
      </w:r>
      <w:proofErr w:type="gramStart"/>
      <w:r w:rsidR="00F81A4B">
        <w:t>,  Yvonne</w:t>
      </w:r>
      <w:proofErr w:type="gramEnd"/>
      <w:r w:rsidR="00F81A4B">
        <w:t xml:space="preserve"> Powell, Jessica Newman, Amy Wagner, Katherine Woods</w:t>
      </w:r>
    </w:p>
    <w:p w:rsidR="00AD5607" w:rsidRPr="00382C14" w:rsidRDefault="00B360D6" w:rsidP="008C516A">
      <w:r w:rsidRPr="00382C14">
        <w:rPr>
          <w:b/>
        </w:rPr>
        <w:t>Staff:</w:t>
      </w:r>
      <w:r w:rsidRPr="00382C14">
        <w:t xml:space="preserve"> Lise Tancrede</w:t>
      </w:r>
    </w:p>
    <w:tbl>
      <w:tblPr>
        <w:tblStyle w:val="TableGrid"/>
        <w:tblW w:w="0" w:type="auto"/>
        <w:tblLook w:val="04A0" w:firstRow="1" w:lastRow="0" w:firstColumn="1" w:lastColumn="0" w:noHBand="0" w:noVBand="1"/>
      </w:tblPr>
      <w:tblGrid>
        <w:gridCol w:w="3708"/>
        <w:gridCol w:w="1620"/>
        <w:gridCol w:w="4050"/>
        <w:gridCol w:w="2790"/>
      </w:tblGrid>
      <w:tr w:rsidR="000A6C66" w:rsidRPr="00382C14" w:rsidTr="001D798E">
        <w:trPr>
          <w:tblHeader/>
        </w:trPr>
        <w:tc>
          <w:tcPr>
            <w:tcW w:w="3708" w:type="dxa"/>
          </w:tcPr>
          <w:p w:rsidR="000A6C66" w:rsidRPr="00382C14" w:rsidRDefault="000A6C66" w:rsidP="004C2832">
            <w:pPr>
              <w:pStyle w:val="Formal1"/>
              <w:spacing w:after="0"/>
              <w:rPr>
                <w:rFonts w:asciiTheme="minorHAnsi" w:hAnsiTheme="minorHAnsi" w:cstheme="minorHAnsi"/>
                <w:b/>
                <w:sz w:val="22"/>
                <w:szCs w:val="22"/>
              </w:rPr>
            </w:pPr>
            <w:r w:rsidRPr="00382C14">
              <w:rPr>
                <w:rFonts w:asciiTheme="minorHAnsi" w:hAnsiTheme="minorHAnsi" w:cstheme="minorHAnsi"/>
                <w:b/>
                <w:sz w:val="22"/>
                <w:szCs w:val="22"/>
              </w:rPr>
              <w:t>Topics</w:t>
            </w:r>
          </w:p>
        </w:tc>
        <w:tc>
          <w:tcPr>
            <w:tcW w:w="1620" w:type="dxa"/>
          </w:tcPr>
          <w:p w:rsidR="000A6C66" w:rsidRPr="00382C14" w:rsidRDefault="000A6C66" w:rsidP="004C2832">
            <w:pPr>
              <w:pStyle w:val="Formal1"/>
              <w:rPr>
                <w:rFonts w:asciiTheme="minorHAnsi" w:hAnsiTheme="minorHAnsi" w:cstheme="minorHAnsi"/>
                <w:b/>
                <w:sz w:val="22"/>
                <w:szCs w:val="22"/>
              </w:rPr>
            </w:pPr>
            <w:r w:rsidRPr="00382C14">
              <w:rPr>
                <w:rFonts w:asciiTheme="minorHAnsi" w:hAnsiTheme="minorHAnsi" w:cstheme="minorHAnsi"/>
                <w:b/>
                <w:sz w:val="22"/>
                <w:szCs w:val="22"/>
              </w:rPr>
              <w:t>Lead</w:t>
            </w:r>
          </w:p>
        </w:tc>
        <w:tc>
          <w:tcPr>
            <w:tcW w:w="4050" w:type="dxa"/>
          </w:tcPr>
          <w:p w:rsidR="000A6C66" w:rsidRPr="00382C14" w:rsidRDefault="000A6C66" w:rsidP="004C2832">
            <w:pPr>
              <w:rPr>
                <w:b/>
              </w:rPr>
            </w:pPr>
            <w:r w:rsidRPr="00382C14">
              <w:rPr>
                <w:b/>
              </w:rPr>
              <w:t>Notes</w:t>
            </w:r>
          </w:p>
        </w:tc>
        <w:tc>
          <w:tcPr>
            <w:tcW w:w="2790" w:type="dxa"/>
          </w:tcPr>
          <w:p w:rsidR="000A6C66" w:rsidRPr="00382C14" w:rsidRDefault="000A6C66" w:rsidP="00627F5F">
            <w:pPr>
              <w:pStyle w:val="Formal1"/>
              <w:rPr>
                <w:rFonts w:asciiTheme="minorHAnsi" w:hAnsiTheme="minorHAnsi" w:cstheme="minorHAnsi"/>
                <w:b/>
                <w:sz w:val="22"/>
                <w:szCs w:val="22"/>
              </w:rPr>
            </w:pPr>
            <w:r w:rsidRPr="00382C14">
              <w:rPr>
                <w:rFonts w:asciiTheme="minorHAnsi" w:hAnsiTheme="minorHAnsi" w:cstheme="minorHAnsi"/>
                <w:b/>
                <w:sz w:val="22"/>
                <w:szCs w:val="22"/>
              </w:rPr>
              <w:t>Actions</w:t>
            </w:r>
            <w:r w:rsidR="00627F5F">
              <w:t xml:space="preserve"> </w:t>
            </w:r>
            <w:r w:rsidRPr="00382C14">
              <w:rPr>
                <w:rFonts w:asciiTheme="minorHAnsi" w:hAnsiTheme="minorHAnsi" w:cstheme="minorHAnsi"/>
                <w:b/>
                <w:sz w:val="22"/>
                <w:szCs w:val="22"/>
              </w:rPr>
              <w:t>/Decisions</w:t>
            </w:r>
          </w:p>
        </w:tc>
      </w:tr>
      <w:tr w:rsidR="000A6C66" w:rsidRPr="00382C14" w:rsidTr="001D798E">
        <w:tc>
          <w:tcPr>
            <w:tcW w:w="3708" w:type="dxa"/>
          </w:tcPr>
          <w:p w:rsidR="000A6C66" w:rsidRPr="00382C14" w:rsidRDefault="000A6C66" w:rsidP="00B562FE">
            <w:pPr>
              <w:pStyle w:val="Formal1"/>
              <w:numPr>
                <w:ilvl w:val="0"/>
                <w:numId w:val="1"/>
              </w:numPr>
              <w:spacing w:after="0"/>
              <w:rPr>
                <w:rFonts w:asciiTheme="minorHAnsi" w:hAnsiTheme="minorHAnsi" w:cstheme="minorHAnsi"/>
                <w:b/>
                <w:sz w:val="22"/>
                <w:szCs w:val="22"/>
              </w:rPr>
            </w:pPr>
            <w:r w:rsidRPr="00382C14">
              <w:rPr>
                <w:rFonts w:asciiTheme="minorHAnsi" w:hAnsiTheme="minorHAnsi" w:cstheme="minorHAnsi"/>
                <w:b/>
                <w:sz w:val="22"/>
                <w:szCs w:val="22"/>
              </w:rPr>
              <w:t xml:space="preserve">Welcome! </w:t>
            </w:r>
            <w:r w:rsidR="00317EB4">
              <w:rPr>
                <w:rFonts w:asciiTheme="minorHAnsi" w:hAnsiTheme="minorHAnsi" w:cstheme="minorHAnsi"/>
                <w:b/>
                <w:sz w:val="22"/>
                <w:szCs w:val="22"/>
              </w:rPr>
              <w:t xml:space="preserve"> </w:t>
            </w:r>
            <w:r w:rsidRPr="00382C14">
              <w:rPr>
                <w:rFonts w:asciiTheme="minorHAnsi" w:hAnsiTheme="minorHAnsi" w:cstheme="minorHAnsi"/>
                <w:b/>
                <w:sz w:val="22"/>
                <w:szCs w:val="22"/>
              </w:rPr>
              <w:t xml:space="preserve">Agenda Review </w:t>
            </w:r>
          </w:p>
        </w:tc>
        <w:tc>
          <w:tcPr>
            <w:tcW w:w="1620" w:type="dxa"/>
          </w:tcPr>
          <w:p w:rsidR="000A6C66" w:rsidRDefault="000A6C66" w:rsidP="0061044D">
            <w:pPr>
              <w:pStyle w:val="Formal1"/>
              <w:rPr>
                <w:rFonts w:asciiTheme="minorHAnsi" w:hAnsiTheme="minorHAnsi" w:cstheme="minorHAnsi"/>
                <w:b/>
                <w:sz w:val="22"/>
                <w:szCs w:val="22"/>
              </w:rPr>
            </w:pPr>
            <w:r w:rsidRPr="00382C14">
              <w:rPr>
                <w:rFonts w:asciiTheme="minorHAnsi" w:hAnsiTheme="minorHAnsi" w:cstheme="minorHAnsi"/>
                <w:b/>
                <w:sz w:val="22"/>
                <w:szCs w:val="22"/>
              </w:rPr>
              <w:t>Lisa Tuttle</w:t>
            </w:r>
          </w:p>
          <w:p w:rsidR="00366684" w:rsidRPr="00382C14" w:rsidRDefault="00366684" w:rsidP="0061044D">
            <w:pPr>
              <w:pStyle w:val="Formal1"/>
              <w:rPr>
                <w:rFonts w:asciiTheme="minorHAnsi" w:hAnsiTheme="minorHAnsi" w:cstheme="minorHAnsi"/>
                <w:b/>
                <w:sz w:val="22"/>
                <w:szCs w:val="22"/>
              </w:rPr>
            </w:pPr>
            <w:r>
              <w:rPr>
                <w:rFonts w:asciiTheme="minorHAnsi" w:hAnsiTheme="minorHAnsi" w:cstheme="minorHAnsi"/>
                <w:b/>
                <w:sz w:val="22"/>
                <w:szCs w:val="22"/>
              </w:rPr>
              <w:t>10:00 (5 min)</w:t>
            </w:r>
          </w:p>
          <w:p w:rsidR="00046DB0" w:rsidRPr="00382C14" w:rsidRDefault="006C2122"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 </w:t>
            </w:r>
          </w:p>
        </w:tc>
        <w:tc>
          <w:tcPr>
            <w:tcW w:w="4050" w:type="dxa"/>
          </w:tcPr>
          <w:p w:rsidR="00366684" w:rsidRDefault="00C360FA" w:rsidP="00737F54">
            <w:r>
              <w:t xml:space="preserve">Introduced the </w:t>
            </w:r>
            <w:proofErr w:type="spellStart"/>
            <w:r>
              <w:t>Lewin</w:t>
            </w:r>
            <w:proofErr w:type="spellEnd"/>
            <w:r>
              <w:t xml:space="preserve"> Group Team</w:t>
            </w:r>
            <w:r w:rsidR="00627F5F">
              <w:t xml:space="preserve">, who </w:t>
            </w:r>
            <w:proofErr w:type="gramStart"/>
            <w:r w:rsidR="00627F5F">
              <w:t>are</w:t>
            </w:r>
            <w:proofErr w:type="gramEnd"/>
            <w:r w:rsidR="00627F5F">
              <w:t xml:space="preserve"> the SIM Evaluators</w:t>
            </w:r>
            <w:r w:rsidR="008B27A4">
              <w:t xml:space="preserve">.  </w:t>
            </w:r>
          </w:p>
          <w:p w:rsidR="00366684" w:rsidRPr="00382C14" w:rsidRDefault="00366684" w:rsidP="00737F54"/>
        </w:tc>
        <w:tc>
          <w:tcPr>
            <w:tcW w:w="2790" w:type="dxa"/>
          </w:tcPr>
          <w:p w:rsidR="000A6C66" w:rsidRPr="00382C14" w:rsidRDefault="00F03098" w:rsidP="0061044D">
            <w:pPr>
              <w:pStyle w:val="Formal1"/>
              <w:rPr>
                <w:rFonts w:asciiTheme="minorHAnsi" w:hAnsiTheme="minorHAnsi" w:cstheme="minorHAnsi"/>
                <w:b/>
                <w:sz w:val="22"/>
                <w:szCs w:val="22"/>
              </w:rPr>
            </w:pPr>
            <w:r>
              <w:rPr>
                <w:rFonts w:asciiTheme="minorHAnsi" w:hAnsiTheme="minorHAnsi" w:cstheme="minorHAnsi"/>
                <w:b/>
                <w:sz w:val="22"/>
                <w:szCs w:val="22"/>
              </w:rPr>
              <w:t xml:space="preserve"> </w:t>
            </w:r>
            <w:r w:rsidR="00627F5F" w:rsidRPr="00627F5F">
              <w:rPr>
                <w:rFonts w:asciiTheme="minorHAnsi" w:hAnsiTheme="minorHAnsi"/>
              </w:rPr>
              <w:t>Agenda reviewed and accepted</w:t>
            </w:r>
            <w:r w:rsidR="00627F5F">
              <w:t>.</w:t>
            </w:r>
          </w:p>
        </w:tc>
      </w:tr>
      <w:tr w:rsidR="000A6C66" w:rsidRPr="00382C14" w:rsidTr="001D798E">
        <w:tc>
          <w:tcPr>
            <w:tcW w:w="3708" w:type="dxa"/>
          </w:tcPr>
          <w:p w:rsidR="000A6C66" w:rsidRPr="00382C14" w:rsidRDefault="00317EB4" w:rsidP="0019691C">
            <w:pPr>
              <w:pStyle w:val="ListParagraph"/>
              <w:numPr>
                <w:ilvl w:val="0"/>
                <w:numId w:val="1"/>
              </w:numPr>
              <w:rPr>
                <w:rFonts w:asciiTheme="minorHAnsi" w:hAnsiTheme="minorHAnsi" w:cstheme="minorHAnsi"/>
                <w:b/>
              </w:rPr>
            </w:pPr>
            <w:r>
              <w:rPr>
                <w:rFonts w:asciiTheme="minorHAnsi" w:hAnsiTheme="minorHAnsi" w:cstheme="minorHAnsi"/>
                <w:b/>
              </w:rPr>
              <w:t>Approval of DSR SIM Notes 6-4</w:t>
            </w:r>
            <w:r w:rsidR="000A6C66" w:rsidRPr="00382C14">
              <w:rPr>
                <w:rFonts w:asciiTheme="minorHAnsi" w:hAnsiTheme="minorHAnsi" w:cstheme="minorHAnsi"/>
                <w:b/>
              </w:rPr>
              <w:t>-14</w:t>
            </w:r>
          </w:p>
          <w:p w:rsidR="00366684" w:rsidRPr="00317EB4" w:rsidRDefault="00C05E37" w:rsidP="00366684">
            <w:pPr>
              <w:pStyle w:val="ListParagraph"/>
              <w:numPr>
                <w:ilvl w:val="0"/>
                <w:numId w:val="1"/>
              </w:numPr>
              <w:rPr>
                <w:rFonts w:asciiTheme="minorHAnsi" w:hAnsiTheme="minorHAnsi" w:cstheme="minorHAnsi"/>
                <w:b/>
              </w:rPr>
            </w:pPr>
            <w:r w:rsidRPr="00382C14">
              <w:rPr>
                <w:rFonts w:asciiTheme="minorHAnsi" w:hAnsiTheme="minorHAnsi" w:cstheme="minorHAnsi"/>
                <w:b/>
              </w:rPr>
              <w:t xml:space="preserve">Notes from </w:t>
            </w:r>
            <w:r w:rsidR="000A6C66" w:rsidRPr="00382C14">
              <w:rPr>
                <w:rFonts w:asciiTheme="minorHAnsi" w:hAnsiTheme="minorHAnsi" w:cstheme="minorHAnsi"/>
                <w:b/>
              </w:rPr>
              <w:t>Payment Reform/Data Infrastructure Subcommittees</w:t>
            </w:r>
            <w:r w:rsidR="00CE623A" w:rsidRPr="00382C14">
              <w:rPr>
                <w:rFonts w:asciiTheme="minorHAnsi" w:hAnsiTheme="minorHAnsi" w:cstheme="minorHAnsi"/>
                <w:b/>
              </w:rPr>
              <w:t xml:space="preserve"> </w:t>
            </w:r>
          </w:p>
          <w:p w:rsidR="00366684" w:rsidRPr="00366684" w:rsidRDefault="00366684" w:rsidP="00366684">
            <w:pPr>
              <w:rPr>
                <w:rFonts w:cstheme="minorHAnsi"/>
                <w:b/>
              </w:rPr>
            </w:pPr>
          </w:p>
        </w:tc>
        <w:tc>
          <w:tcPr>
            <w:tcW w:w="1620" w:type="dxa"/>
          </w:tcPr>
          <w:p w:rsidR="00205ACD" w:rsidRDefault="000A6C66" w:rsidP="00CA513B">
            <w:pPr>
              <w:rPr>
                <w:b/>
              </w:rPr>
            </w:pPr>
            <w:r w:rsidRPr="00382C14">
              <w:rPr>
                <w:b/>
              </w:rPr>
              <w:t>All</w:t>
            </w:r>
          </w:p>
          <w:p w:rsidR="000A6C66" w:rsidRPr="00382C14" w:rsidRDefault="00366684" w:rsidP="00CA513B">
            <w:pPr>
              <w:rPr>
                <w:b/>
              </w:rPr>
            </w:pPr>
            <w:r>
              <w:rPr>
                <w:b/>
              </w:rPr>
              <w:t>10:05 (10 min)</w:t>
            </w:r>
          </w:p>
          <w:p w:rsidR="00046DB0" w:rsidRPr="00382C14" w:rsidRDefault="006C2122" w:rsidP="00CA513B">
            <w:pPr>
              <w:rPr>
                <w:b/>
              </w:rPr>
            </w:pPr>
            <w:r>
              <w:rPr>
                <w:b/>
              </w:rPr>
              <w:t xml:space="preserve"> </w:t>
            </w:r>
          </w:p>
          <w:p w:rsidR="000C5E04" w:rsidRPr="00382C14" w:rsidRDefault="000C5E04" w:rsidP="00CA513B">
            <w:pPr>
              <w:rPr>
                <w:b/>
              </w:rPr>
            </w:pPr>
          </w:p>
        </w:tc>
        <w:tc>
          <w:tcPr>
            <w:tcW w:w="4050" w:type="dxa"/>
          </w:tcPr>
          <w:p w:rsidR="00627F5F" w:rsidRDefault="008B27A4" w:rsidP="00627F5F">
            <w:pPr>
              <w:spacing w:after="200" w:line="276" w:lineRule="auto"/>
              <w:rPr>
                <w:rFonts w:cstheme="minorHAnsi"/>
              </w:rPr>
            </w:pPr>
            <w:r>
              <w:rPr>
                <w:rFonts w:cstheme="minorHAnsi"/>
              </w:rPr>
              <w:t>Committee approved the notes of 6-</w:t>
            </w:r>
            <w:r w:rsidR="00C360FA">
              <w:rPr>
                <w:rFonts w:cstheme="minorHAnsi"/>
              </w:rPr>
              <w:t xml:space="preserve"> 4-14 </w:t>
            </w:r>
            <w:r>
              <w:rPr>
                <w:rFonts w:cstheme="minorHAnsi"/>
              </w:rPr>
              <w:t xml:space="preserve">SIM DSR </w:t>
            </w:r>
            <w:r w:rsidR="00C360FA">
              <w:rPr>
                <w:rFonts w:cstheme="minorHAnsi"/>
              </w:rPr>
              <w:t>meeting</w:t>
            </w:r>
            <w:r w:rsidR="007C2DDC">
              <w:rPr>
                <w:rFonts w:cstheme="minorHAnsi"/>
              </w:rPr>
              <w:t xml:space="preserve"> as presented.  </w:t>
            </w:r>
          </w:p>
          <w:p w:rsidR="00BF67EC" w:rsidRPr="00382C14" w:rsidRDefault="00C360FA" w:rsidP="00627F5F">
            <w:pPr>
              <w:spacing w:after="200" w:line="276" w:lineRule="auto"/>
              <w:rPr>
                <w:rFonts w:cstheme="minorHAnsi"/>
              </w:rPr>
            </w:pPr>
            <w:r>
              <w:rPr>
                <w:rFonts w:cstheme="minorHAnsi"/>
              </w:rPr>
              <w:t>Lise gave a quick review o</w:t>
            </w:r>
            <w:r w:rsidR="007C2DDC">
              <w:rPr>
                <w:rFonts w:cstheme="minorHAnsi"/>
              </w:rPr>
              <w:t xml:space="preserve">f </w:t>
            </w:r>
            <w:r w:rsidR="00EA2531">
              <w:rPr>
                <w:rFonts w:cstheme="minorHAnsi"/>
              </w:rPr>
              <w:t xml:space="preserve">SIM DSR </w:t>
            </w:r>
            <w:r w:rsidR="007C2DDC">
              <w:rPr>
                <w:rFonts w:cstheme="minorHAnsi"/>
              </w:rPr>
              <w:t xml:space="preserve">material distribution process and Randy reviewed available materials that are on the SIM website.  </w:t>
            </w:r>
          </w:p>
        </w:tc>
        <w:tc>
          <w:tcPr>
            <w:tcW w:w="2790" w:type="dxa"/>
          </w:tcPr>
          <w:p w:rsidR="00573F55" w:rsidRPr="00836435" w:rsidRDefault="00573F55" w:rsidP="00891D89">
            <w:pPr>
              <w:spacing w:after="200" w:line="276" w:lineRule="auto"/>
              <w:rPr>
                <w:rFonts w:cstheme="minorHAnsi"/>
                <w:b/>
              </w:rPr>
            </w:pPr>
            <w:r w:rsidRPr="00891D89">
              <w:rPr>
                <w:rFonts w:cstheme="minorHAnsi"/>
              </w:rPr>
              <w:t>September</w:t>
            </w:r>
            <w:r w:rsidR="006F557D" w:rsidRPr="00891D89">
              <w:rPr>
                <w:rFonts w:cstheme="minorHAnsi"/>
              </w:rPr>
              <w:t xml:space="preserve"> meeting</w:t>
            </w:r>
            <w:r w:rsidRPr="00891D89">
              <w:rPr>
                <w:rFonts w:cstheme="minorHAnsi"/>
              </w:rPr>
              <w:t xml:space="preserve"> bring in the status on last two remaining initiatives</w:t>
            </w:r>
            <w:r w:rsidR="00891D89" w:rsidRPr="00891D89">
              <w:rPr>
                <w:rFonts w:cstheme="minorHAnsi"/>
              </w:rPr>
              <w:t>:</w:t>
            </w:r>
            <w:r w:rsidR="00891D89">
              <w:rPr>
                <w:rFonts w:cstheme="minorHAnsi"/>
                <w:b/>
              </w:rPr>
              <w:t xml:space="preserve">    </w:t>
            </w:r>
            <w:r w:rsidR="00891D89">
              <w:t>Direct, provide input on l</w:t>
            </w:r>
            <w:r w:rsidR="00891D89">
              <w:t>eadership development initiative.</w:t>
            </w:r>
            <w:r w:rsidR="00891D89">
              <w:rPr>
                <w:rFonts w:cstheme="minorHAnsi"/>
                <w:b/>
              </w:rPr>
              <w:t xml:space="preserve">                        </w:t>
            </w:r>
            <w:r w:rsidR="00891D89">
              <w:t xml:space="preserve">Inform development and </w:t>
            </w:r>
            <w:r w:rsidR="00891D89">
              <w:lastRenderedPageBreak/>
              <w:t>execution of Developmental Disabilities/ Autism Training for Primary Care Providers</w:t>
            </w:r>
            <w:r w:rsidR="0064565A">
              <w:rPr>
                <w:rFonts w:cstheme="minorHAnsi"/>
                <w:b/>
              </w:rPr>
              <w:t xml:space="preserve"> </w:t>
            </w:r>
            <w:r w:rsidR="00891D89">
              <w:rPr>
                <w:rFonts w:cstheme="minorHAnsi"/>
                <w:b/>
              </w:rPr>
              <w:t xml:space="preserve"> </w:t>
            </w:r>
            <w:r w:rsidR="00836435">
              <w:rPr>
                <w:rFonts w:cstheme="minorHAnsi"/>
                <w:b/>
              </w:rPr>
              <w:t xml:space="preserve">  </w:t>
            </w:r>
          </w:p>
        </w:tc>
      </w:tr>
      <w:tr w:rsidR="000C5E04" w:rsidRPr="00382C14" w:rsidTr="001D798E">
        <w:tc>
          <w:tcPr>
            <w:tcW w:w="3708" w:type="dxa"/>
          </w:tcPr>
          <w:p w:rsidR="00366684" w:rsidRDefault="00317EB4" w:rsidP="00317EB4">
            <w:pPr>
              <w:pStyle w:val="ListParagraph"/>
              <w:numPr>
                <w:ilvl w:val="0"/>
                <w:numId w:val="1"/>
              </w:numPr>
              <w:rPr>
                <w:rFonts w:cstheme="minorHAnsi"/>
                <w:b/>
              </w:rPr>
            </w:pPr>
            <w:r>
              <w:rPr>
                <w:rFonts w:cstheme="minorHAnsi"/>
                <w:b/>
              </w:rPr>
              <w:lastRenderedPageBreak/>
              <w:t>Recap of SIM DSR Subcommittee Work To Date</w:t>
            </w:r>
          </w:p>
          <w:p w:rsidR="00317EB4" w:rsidRPr="00317EB4" w:rsidRDefault="00317EB4" w:rsidP="00317EB4">
            <w:pPr>
              <w:pStyle w:val="ListParagraph"/>
              <w:ind w:left="360"/>
              <w:rPr>
                <w:rFonts w:cstheme="minorHAnsi"/>
                <w:b/>
              </w:rPr>
            </w:pPr>
            <w:r>
              <w:rPr>
                <w:rFonts w:cstheme="minorHAnsi"/>
                <w:b/>
              </w:rPr>
              <w:t>Expected Actions: To review DSR s</w:t>
            </w:r>
            <w:r w:rsidR="00F9579C">
              <w:rPr>
                <w:rFonts w:cstheme="minorHAnsi"/>
                <w:b/>
              </w:rPr>
              <w:t>ubcommittee accomplishments since</w:t>
            </w:r>
            <w:r>
              <w:rPr>
                <w:rFonts w:cstheme="minorHAnsi"/>
                <w:b/>
              </w:rPr>
              <w:t xml:space="preserve"> 10-31-13</w:t>
            </w:r>
          </w:p>
        </w:tc>
        <w:tc>
          <w:tcPr>
            <w:tcW w:w="1620" w:type="dxa"/>
          </w:tcPr>
          <w:p w:rsidR="000C5E04" w:rsidRDefault="00317EB4" w:rsidP="00CA513B">
            <w:pPr>
              <w:rPr>
                <w:b/>
              </w:rPr>
            </w:pPr>
            <w:r>
              <w:rPr>
                <w:b/>
              </w:rPr>
              <w:t>Lisa Tuttle</w:t>
            </w:r>
          </w:p>
          <w:p w:rsidR="00205ACD" w:rsidRDefault="00205ACD" w:rsidP="00CA513B">
            <w:pPr>
              <w:rPr>
                <w:b/>
              </w:rPr>
            </w:pPr>
          </w:p>
          <w:p w:rsidR="00366684" w:rsidRPr="00382C14" w:rsidRDefault="00366684" w:rsidP="00CA513B">
            <w:pPr>
              <w:rPr>
                <w:b/>
              </w:rPr>
            </w:pPr>
            <w:r>
              <w:rPr>
                <w:b/>
              </w:rPr>
              <w:t>10:15 (</w:t>
            </w:r>
            <w:r w:rsidR="00317EB4">
              <w:rPr>
                <w:b/>
              </w:rPr>
              <w:t>2</w:t>
            </w:r>
            <w:r>
              <w:rPr>
                <w:b/>
              </w:rPr>
              <w:t>0 min)</w:t>
            </w:r>
          </w:p>
          <w:p w:rsidR="000C5E04" w:rsidRPr="00382C14" w:rsidRDefault="000C5E04" w:rsidP="00CA513B">
            <w:pPr>
              <w:rPr>
                <w:b/>
              </w:rPr>
            </w:pPr>
          </w:p>
        </w:tc>
        <w:tc>
          <w:tcPr>
            <w:tcW w:w="4050" w:type="dxa"/>
          </w:tcPr>
          <w:p w:rsidR="00DF2B92" w:rsidRDefault="00DF2B92" w:rsidP="00DF2B92">
            <w:pPr>
              <w:rPr>
                <w:rFonts w:cstheme="minorHAnsi"/>
              </w:rPr>
            </w:pPr>
            <w:r>
              <w:rPr>
                <w:rFonts w:cstheme="minorHAnsi"/>
              </w:rPr>
              <w:t xml:space="preserve">Lisa provided the subcommittee an overview of DSR work </w:t>
            </w:r>
            <w:r w:rsidR="00B72748">
              <w:rPr>
                <w:rFonts w:cstheme="minorHAnsi"/>
              </w:rPr>
              <w:t xml:space="preserve">done to date and </w:t>
            </w:r>
            <w:r w:rsidR="006F557D">
              <w:rPr>
                <w:rFonts w:cstheme="minorHAnsi"/>
              </w:rPr>
              <w:t>accomplishments</w:t>
            </w:r>
            <w:r w:rsidR="00B72748">
              <w:rPr>
                <w:rFonts w:cstheme="minorHAnsi"/>
              </w:rPr>
              <w:t>.</w:t>
            </w:r>
            <w:r>
              <w:rPr>
                <w:rFonts w:cstheme="minorHAnsi"/>
              </w:rPr>
              <w:t xml:space="preserve"> (See Slides attached)</w:t>
            </w:r>
          </w:p>
          <w:p w:rsidR="00DF2B92" w:rsidRDefault="00DF2B92" w:rsidP="009E21FE">
            <w:pPr>
              <w:rPr>
                <w:rFonts w:cstheme="minorHAnsi"/>
              </w:rPr>
            </w:pPr>
          </w:p>
          <w:p w:rsidR="007C2DDC" w:rsidRDefault="002338F0" w:rsidP="009E21FE">
            <w:pPr>
              <w:rPr>
                <w:rFonts w:cstheme="minorHAnsi"/>
              </w:rPr>
            </w:pPr>
            <w:r>
              <w:rPr>
                <w:rFonts w:cstheme="minorHAnsi"/>
              </w:rPr>
              <w:t>Randy</w:t>
            </w:r>
            <w:r w:rsidR="007C2DDC">
              <w:rPr>
                <w:rFonts w:cstheme="minorHAnsi"/>
              </w:rPr>
              <w:t xml:space="preserve"> is working on a draft of the </w:t>
            </w:r>
            <w:r w:rsidR="00573F55">
              <w:rPr>
                <w:rFonts w:cstheme="minorHAnsi"/>
              </w:rPr>
              <w:t xml:space="preserve">Leadership </w:t>
            </w:r>
            <w:r w:rsidR="007C2DDC">
              <w:rPr>
                <w:rFonts w:cstheme="minorHAnsi"/>
              </w:rPr>
              <w:t xml:space="preserve">Development Program which will be going before the Steering Committee for funding approval. </w:t>
            </w:r>
          </w:p>
          <w:p w:rsidR="007C2DDC" w:rsidRDefault="007C2DDC" w:rsidP="009E21FE">
            <w:pPr>
              <w:rPr>
                <w:rFonts w:cstheme="minorHAnsi"/>
              </w:rPr>
            </w:pPr>
          </w:p>
          <w:p w:rsidR="00573F55" w:rsidRDefault="00CA4B06" w:rsidP="009E21FE">
            <w:pPr>
              <w:rPr>
                <w:rFonts w:cstheme="minorHAnsi"/>
              </w:rPr>
            </w:pPr>
            <w:r>
              <w:rPr>
                <w:rFonts w:cstheme="minorHAnsi"/>
              </w:rPr>
              <w:t>Gerry Queally</w:t>
            </w:r>
            <w:r w:rsidR="00EA2531">
              <w:rPr>
                <w:rFonts w:cstheme="minorHAnsi"/>
              </w:rPr>
              <w:t xml:space="preserve"> addressed a potential risk to the SIM </w:t>
            </w:r>
            <w:r>
              <w:rPr>
                <w:rFonts w:cstheme="minorHAnsi"/>
              </w:rPr>
              <w:t>Project.  He</w:t>
            </w:r>
            <w:r w:rsidR="00EA2531">
              <w:rPr>
                <w:rFonts w:cstheme="minorHAnsi"/>
              </w:rPr>
              <w:t xml:space="preserve"> had c</w:t>
            </w:r>
            <w:r>
              <w:rPr>
                <w:rFonts w:cstheme="minorHAnsi"/>
              </w:rPr>
              <w:t xml:space="preserve">oncerns about the transition plan for the HCBS Waiver which </w:t>
            </w:r>
            <w:r w:rsidR="00573F55">
              <w:rPr>
                <w:rFonts w:cstheme="minorHAnsi"/>
              </w:rPr>
              <w:t>has to be resubmitted by March 15, 2015</w:t>
            </w:r>
            <w:r w:rsidR="002338F0">
              <w:rPr>
                <w:rFonts w:cstheme="minorHAnsi"/>
              </w:rPr>
              <w:t>.</w:t>
            </w:r>
          </w:p>
          <w:p w:rsidR="00CA4B06" w:rsidRDefault="00CA4B06" w:rsidP="009E21FE">
            <w:pPr>
              <w:rPr>
                <w:rFonts w:cstheme="minorHAnsi"/>
              </w:rPr>
            </w:pPr>
          </w:p>
          <w:p w:rsidR="00573F55" w:rsidRDefault="00DF2B92" w:rsidP="00573F55">
            <w:pPr>
              <w:rPr>
                <w:rFonts w:cstheme="minorHAnsi"/>
              </w:rPr>
            </w:pPr>
            <w:r>
              <w:rPr>
                <w:rFonts w:cstheme="minorHAnsi"/>
              </w:rPr>
              <w:t xml:space="preserve">Barbara </w:t>
            </w:r>
            <w:proofErr w:type="spellStart"/>
            <w:r>
              <w:rPr>
                <w:rFonts w:cstheme="minorHAnsi"/>
              </w:rPr>
              <w:t>Ginley</w:t>
            </w:r>
            <w:proofErr w:type="spellEnd"/>
            <w:r>
              <w:rPr>
                <w:rFonts w:cstheme="minorHAnsi"/>
              </w:rPr>
              <w:t xml:space="preserve"> shared</w:t>
            </w:r>
            <w:r w:rsidR="009B1D55">
              <w:rPr>
                <w:rFonts w:cstheme="minorHAnsi"/>
              </w:rPr>
              <w:t xml:space="preserve"> a status report on the CHW pilot. </w:t>
            </w:r>
            <w:r>
              <w:rPr>
                <w:rFonts w:cstheme="minorHAnsi"/>
              </w:rPr>
              <w:t xml:space="preserve"> </w:t>
            </w:r>
            <w:r w:rsidR="009B1D55">
              <w:rPr>
                <w:rFonts w:cstheme="minorHAnsi"/>
              </w:rPr>
              <w:t>Currently there are four</w:t>
            </w:r>
            <w:r>
              <w:rPr>
                <w:rFonts w:cstheme="minorHAnsi"/>
              </w:rPr>
              <w:t xml:space="preserve"> (4) pilot </w:t>
            </w:r>
            <w:r w:rsidR="008B337B">
              <w:rPr>
                <w:rFonts w:cstheme="minorHAnsi"/>
              </w:rPr>
              <w:t>projected to start by September 1, 2014.</w:t>
            </w:r>
            <w:r w:rsidR="009B1D55">
              <w:rPr>
                <w:rFonts w:cstheme="minorHAnsi"/>
              </w:rPr>
              <w:t xml:space="preserve"> </w:t>
            </w:r>
          </w:p>
          <w:p w:rsidR="009B1D55" w:rsidRDefault="009B1D55" w:rsidP="00573F55">
            <w:pPr>
              <w:rPr>
                <w:rFonts w:cstheme="minorHAnsi"/>
              </w:rPr>
            </w:pPr>
            <w:r w:rsidRPr="009B1D55">
              <w:rPr>
                <w:rFonts w:cstheme="minorHAnsi"/>
                <w:b/>
              </w:rPr>
              <w:t>Spectrum Generations</w:t>
            </w:r>
            <w:r>
              <w:rPr>
                <w:rFonts w:cstheme="minorHAnsi"/>
              </w:rPr>
              <w:t xml:space="preserve"> will be integrating a CHW into their AAA.</w:t>
            </w:r>
          </w:p>
          <w:p w:rsidR="009B1D55" w:rsidRDefault="009B1D55" w:rsidP="00573F55">
            <w:pPr>
              <w:rPr>
                <w:rFonts w:cstheme="minorHAnsi"/>
              </w:rPr>
            </w:pPr>
            <w:r w:rsidRPr="0024194E">
              <w:rPr>
                <w:rFonts w:cstheme="minorHAnsi"/>
                <w:b/>
              </w:rPr>
              <w:t xml:space="preserve">Portland Public </w:t>
            </w:r>
            <w:r w:rsidR="00836435" w:rsidRPr="0024194E">
              <w:rPr>
                <w:rFonts w:cstheme="minorHAnsi"/>
                <w:b/>
              </w:rPr>
              <w:t>Health</w:t>
            </w:r>
            <w:r w:rsidR="00836435">
              <w:rPr>
                <w:rFonts w:cstheme="minorHAnsi"/>
              </w:rPr>
              <w:t xml:space="preserve"> will</w:t>
            </w:r>
            <w:r>
              <w:rPr>
                <w:rFonts w:cstheme="minorHAnsi"/>
              </w:rPr>
              <w:t xml:space="preserve"> be </w:t>
            </w:r>
            <w:r w:rsidR="00836435">
              <w:rPr>
                <w:rFonts w:cstheme="minorHAnsi"/>
              </w:rPr>
              <w:t>working with</w:t>
            </w:r>
            <w:r>
              <w:rPr>
                <w:rFonts w:cstheme="minorHAnsi"/>
              </w:rPr>
              <w:t xml:space="preserve"> populations challenged by difference in culture and language</w:t>
            </w:r>
            <w:r w:rsidR="0024194E">
              <w:rPr>
                <w:rFonts w:cstheme="minorHAnsi"/>
              </w:rPr>
              <w:t>.</w:t>
            </w:r>
          </w:p>
          <w:p w:rsidR="009B1D55" w:rsidRDefault="009B1D55" w:rsidP="00573F55">
            <w:pPr>
              <w:rPr>
                <w:rFonts w:cstheme="minorHAnsi"/>
              </w:rPr>
            </w:pPr>
            <w:r w:rsidRPr="0024194E">
              <w:rPr>
                <w:rFonts w:cstheme="minorHAnsi"/>
                <w:b/>
              </w:rPr>
              <w:t>Maine General</w:t>
            </w:r>
            <w:r>
              <w:rPr>
                <w:rFonts w:cstheme="minorHAnsi"/>
              </w:rPr>
              <w:t xml:space="preserve"> will incorporate CH</w:t>
            </w:r>
            <w:r w:rsidR="0024194E">
              <w:rPr>
                <w:rFonts w:cstheme="minorHAnsi"/>
              </w:rPr>
              <w:t>W into their prevention center f</w:t>
            </w:r>
            <w:r>
              <w:rPr>
                <w:rFonts w:cstheme="minorHAnsi"/>
              </w:rPr>
              <w:t xml:space="preserve">ocusing on patient populations that are not using health care resources appropriately. </w:t>
            </w:r>
            <w:proofErr w:type="gramStart"/>
            <w:r>
              <w:rPr>
                <w:rFonts w:cstheme="minorHAnsi"/>
              </w:rPr>
              <w:t>i.e</w:t>
            </w:r>
            <w:proofErr w:type="gramEnd"/>
            <w:r>
              <w:rPr>
                <w:rFonts w:cstheme="minorHAnsi"/>
              </w:rPr>
              <w:t>. frequent ED usage.</w:t>
            </w:r>
          </w:p>
          <w:p w:rsidR="009B1D55" w:rsidRDefault="009B1D55" w:rsidP="00573F55">
            <w:pPr>
              <w:rPr>
                <w:rFonts w:cstheme="minorHAnsi"/>
              </w:rPr>
            </w:pPr>
            <w:r w:rsidRPr="00B72748">
              <w:rPr>
                <w:rFonts w:cstheme="minorHAnsi"/>
                <w:b/>
              </w:rPr>
              <w:t>DFD Russell</w:t>
            </w:r>
            <w:r>
              <w:rPr>
                <w:rFonts w:cstheme="minorHAnsi"/>
              </w:rPr>
              <w:t xml:space="preserve"> is the four will be addressing </w:t>
            </w:r>
            <w:r>
              <w:rPr>
                <w:rFonts w:cstheme="minorHAnsi"/>
              </w:rPr>
              <w:lastRenderedPageBreak/>
              <w:t>p</w:t>
            </w:r>
            <w:r w:rsidR="00B72748">
              <w:rPr>
                <w:rFonts w:cstheme="minorHAnsi"/>
              </w:rPr>
              <w:t>eople with diagnosis of asthma to decrease ED usage, hospitalizations and breast cancer screenings.</w:t>
            </w:r>
          </w:p>
          <w:p w:rsidR="002338F0" w:rsidRDefault="002338F0" w:rsidP="00573F55">
            <w:pPr>
              <w:rPr>
                <w:rFonts w:cstheme="minorHAnsi"/>
              </w:rPr>
            </w:pPr>
          </w:p>
          <w:p w:rsidR="009B1D55" w:rsidRDefault="009B1D55" w:rsidP="00573F55">
            <w:pPr>
              <w:rPr>
                <w:rFonts w:cstheme="minorHAnsi"/>
              </w:rPr>
            </w:pPr>
            <w:r>
              <w:rPr>
                <w:rFonts w:cstheme="minorHAnsi"/>
              </w:rPr>
              <w:t>Randy shared that the steering</w:t>
            </w:r>
            <w:r w:rsidR="00B72748">
              <w:rPr>
                <w:rFonts w:cstheme="minorHAnsi"/>
              </w:rPr>
              <w:t xml:space="preserve"> committee has spe</w:t>
            </w:r>
            <w:r w:rsidR="000059F6">
              <w:rPr>
                <w:rFonts w:cstheme="minorHAnsi"/>
              </w:rPr>
              <w:t xml:space="preserve">nt </w:t>
            </w:r>
            <w:r w:rsidR="00B72748">
              <w:rPr>
                <w:rFonts w:cstheme="minorHAnsi"/>
              </w:rPr>
              <w:t>some time</w:t>
            </w:r>
            <w:r>
              <w:rPr>
                <w:rFonts w:cstheme="minorHAnsi"/>
              </w:rPr>
              <w:t xml:space="preserve"> on change fatigue.  </w:t>
            </w:r>
            <w:r w:rsidR="000059F6">
              <w:rPr>
                <w:rFonts w:cstheme="minorHAnsi"/>
              </w:rPr>
              <w:t>This is a g</w:t>
            </w:r>
            <w:r>
              <w:rPr>
                <w:rFonts w:cstheme="minorHAnsi"/>
              </w:rPr>
              <w:t xml:space="preserve">reat example of a risk being identified at the DSR subcommittee and being escalated up to the steering </w:t>
            </w:r>
            <w:r w:rsidR="00836435">
              <w:rPr>
                <w:rFonts w:cstheme="minorHAnsi"/>
              </w:rPr>
              <w:t>subcommittee</w:t>
            </w:r>
            <w:r>
              <w:rPr>
                <w:rFonts w:cstheme="minorHAnsi"/>
              </w:rPr>
              <w:t xml:space="preserve"> for review.</w:t>
            </w:r>
          </w:p>
          <w:p w:rsidR="009B1D55" w:rsidRDefault="009B1D55" w:rsidP="00573F55">
            <w:pPr>
              <w:rPr>
                <w:rFonts w:cstheme="minorHAnsi"/>
              </w:rPr>
            </w:pPr>
          </w:p>
          <w:p w:rsidR="00366684" w:rsidRPr="00382C14" w:rsidRDefault="000059F6" w:rsidP="0064565A">
            <w:pPr>
              <w:rPr>
                <w:rFonts w:cstheme="minorHAnsi"/>
              </w:rPr>
            </w:pPr>
            <w:r>
              <w:rPr>
                <w:rFonts w:cstheme="minorHAnsi"/>
              </w:rPr>
              <w:t>The subcommittee</w:t>
            </w:r>
            <w:r w:rsidR="00651C14">
              <w:rPr>
                <w:rFonts w:cstheme="minorHAnsi"/>
              </w:rPr>
              <w:t xml:space="preserve"> broke up into </w:t>
            </w:r>
            <w:r>
              <w:rPr>
                <w:rFonts w:cstheme="minorHAnsi"/>
              </w:rPr>
              <w:t xml:space="preserve">small </w:t>
            </w:r>
            <w:r w:rsidR="00651C14">
              <w:rPr>
                <w:rFonts w:cstheme="minorHAnsi"/>
              </w:rPr>
              <w:t>groups to c</w:t>
            </w:r>
            <w:r>
              <w:rPr>
                <w:rFonts w:cstheme="minorHAnsi"/>
              </w:rPr>
              <w:t xml:space="preserve">onsider Gaps in </w:t>
            </w:r>
            <w:r w:rsidR="002338F0">
              <w:rPr>
                <w:rFonts w:cstheme="minorHAnsi"/>
              </w:rPr>
              <w:t xml:space="preserve">their work to date since 10/31/14 </w:t>
            </w:r>
            <w:r w:rsidR="0064565A">
              <w:rPr>
                <w:rFonts w:cstheme="minorHAnsi"/>
              </w:rPr>
              <w:t>(data collected will inform future agendas)</w:t>
            </w:r>
          </w:p>
        </w:tc>
        <w:tc>
          <w:tcPr>
            <w:tcW w:w="2790" w:type="dxa"/>
          </w:tcPr>
          <w:p w:rsidR="009A674E" w:rsidRDefault="002338F0" w:rsidP="0061044D">
            <w:pPr>
              <w:rPr>
                <w:rFonts w:cstheme="minorHAnsi"/>
              </w:rPr>
            </w:pPr>
            <w:r>
              <w:rPr>
                <w:rFonts w:cstheme="minorHAnsi"/>
              </w:rPr>
              <w:lastRenderedPageBreak/>
              <w:t>Request was made to Randy to a</w:t>
            </w:r>
            <w:r w:rsidR="006F557D">
              <w:rPr>
                <w:rFonts w:cstheme="minorHAnsi"/>
              </w:rPr>
              <w:t>dd potential for scholarships to the information on Leadership Development to the SC</w:t>
            </w:r>
            <w:r w:rsidR="00EA2531">
              <w:rPr>
                <w:rFonts w:cstheme="minorHAnsi"/>
              </w:rPr>
              <w:t xml:space="preserve"> </w:t>
            </w:r>
          </w:p>
          <w:p w:rsidR="00CA4B06" w:rsidRDefault="00CA4B06" w:rsidP="0061044D">
            <w:pPr>
              <w:rPr>
                <w:rFonts w:cstheme="minorHAnsi"/>
              </w:rPr>
            </w:pPr>
          </w:p>
          <w:p w:rsidR="00CA4B06" w:rsidRDefault="00CA4B06" w:rsidP="0061044D">
            <w:pPr>
              <w:rPr>
                <w:rFonts w:cstheme="minorHAnsi"/>
              </w:rPr>
            </w:pPr>
          </w:p>
          <w:p w:rsidR="00CA4B06" w:rsidRDefault="00CA4B06" w:rsidP="0061044D">
            <w:pPr>
              <w:rPr>
                <w:rFonts w:cstheme="minorHAnsi"/>
              </w:rPr>
            </w:pPr>
          </w:p>
          <w:p w:rsidR="00CA4B06" w:rsidRDefault="00CA4B06" w:rsidP="0061044D">
            <w:pPr>
              <w:rPr>
                <w:rFonts w:cstheme="minorHAnsi"/>
              </w:rPr>
            </w:pPr>
          </w:p>
          <w:p w:rsidR="00944FC0" w:rsidRPr="004D7294" w:rsidRDefault="00CA4B06" w:rsidP="00944FC0">
            <w:pPr>
              <w:rPr>
                <w:rFonts w:cstheme="minorHAnsi"/>
              </w:rPr>
            </w:pPr>
            <w:r>
              <w:rPr>
                <w:rFonts w:cstheme="minorHAnsi"/>
              </w:rPr>
              <w:t xml:space="preserve">Add to Risk Log:  </w:t>
            </w:r>
            <w:r w:rsidR="00C74DA0">
              <w:rPr>
                <w:rFonts w:cstheme="minorHAnsi"/>
              </w:rPr>
              <w:t xml:space="preserve">Involve SIM in the rewriting of the </w:t>
            </w:r>
            <w:r>
              <w:rPr>
                <w:rFonts w:cstheme="minorHAnsi"/>
              </w:rPr>
              <w:t>HCBS Waiver transition plan</w:t>
            </w:r>
            <w:r w:rsidR="00C74DA0">
              <w:rPr>
                <w:rFonts w:cstheme="minorHAnsi"/>
              </w:rPr>
              <w:t xml:space="preserve"> required by March 15, 2015</w:t>
            </w:r>
            <w:r w:rsidR="00944FC0">
              <w:rPr>
                <w:rFonts w:cstheme="minorHAnsi"/>
              </w:rPr>
              <w:t xml:space="preserve">. Workgroup to include Gerry </w:t>
            </w:r>
            <w:proofErr w:type="spellStart"/>
            <w:r w:rsidR="00944FC0">
              <w:rPr>
                <w:rFonts w:cstheme="minorHAnsi"/>
              </w:rPr>
              <w:t>Quelly</w:t>
            </w:r>
            <w:proofErr w:type="spellEnd"/>
            <w:r w:rsidR="00944FC0">
              <w:rPr>
                <w:rFonts w:cstheme="minorHAnsi"/>
              </w:rPr>
              <w:t>, Anne Graham, Jim Martin and consumers.</w:t>
            </w:r>
          </w:p>
          <w:p w:rsidR="00CA4B06" w:rsidRPr="009E21FE" w:rsidRDefault="00CA4B06" w:rsidP="0061044D">
            <w:pPr>
              <w:rPr>
                <w:rFonts w:cstheme="minorHAnsi"/>
              </w:rPr>
            </w:pPr>
          </w:p>
        </w:tc>
      </w:tr>
      <w:tr w:rsidR="000A6C66" w:rsidRPr="00382C14" w:rsidTr="001D798E">
        <w:tc>
          <w:tcPr>
            <w:tcW w:w="3708" w:type="dxa"/>
          </w:tcPr>
          <w:p w:rsidR="00366684" w:rsidRDefault="00317EB4" w:rsidP="00317EB4">
            <w:pPr>
              <w:pStyle w:val="ListParagraph"/>
              <w:numPr>
                <w:ilvl w:val="0"/>
                <w:numId w:val="1"/>
              </w:numPr>
              <w:rPr>
                <w:rFonts w:cstheme="minorHAnsi"/>
                <w:b/>
              </w:rPr>
            </w:pPr>
            <w:r>
              <w:rPr>
                <w:rFonts w:cstheme="minorHAnsi"/>
                <w:b/>
              </w:rPr>
              <w:lastRenderedPageBreak/>
              <w:t>SIM Accountability Targets and Status Reports</w:t>
            </w:r>
          </w:p>
          <w:p w:rsidR="00317EB4" w:rsidRDefault="00317EB4" w:rsidP="00317EB4">
            <w:pPr>
              <w:pStyle w:val="ListParagraph"/>
              <w:ind w:left="360"/>
              <w:rPr>
                <w:rFonts w:cstheme="minorHAnsi"/>
                <w:b/>
              </w:rPr>
            </w:pPr>
            <w:r>
              <w:rPr>
                <w:rFonts w:cstheme="minorHAnsi"/>
                <w:b/>
              </w:rPr>
              <w:t>Expected Actions:  Understand existing SIM Accountability Targets and Status reporting process; Discussion to identify DSR initiatives status to subcommittee</w:t>
            </w:r>
          </w:p>
          <w:p w:rsidR="00317EB4" w:rsidRDefault="00317EB4" w:rsidP="00317EB4">
            <w:pPr>
              <w:pStyle w:val="ListParagraph"/>
              <w:ind w:left="360"/>
              <w:rPr>
                <w:rFonts w:cstheme="minorHAnsi"/>
                <w:b/>
              </w:rPr>
            </w:pPr>
          </w:p>
          <w:p w:rsidR="00317EB4" w:rsidRPr="00317EB4" w:rsidRDefault="00317EB4" w:rsidP="00317EB4">
            <w:pPr>
              <w:rPr>
                <w:rFonts w:cstheme="minorHAnsi"/>
                <w:b/>
              </w:rPr>
            </w:pPr>
            <w:r>
              <w:rPr>
                <w:rFonts w:cstheme="minorHAnsi"/>
                <w:b/>
              </w:rPr>
              <w:t xml:space="preserve">     </w:t>
            </w: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Default="0061044D" w:rsidP="008A4DE0">
            <w:pPr>
              <w:pStyle w:val="ListParagraph"/>
              <w:ind w:left="360"/>
              <w:rPr>
                <w:rFonts w:asciiTheme="minorHAnsi" w:hAnsiTheme="minorHAnsi" w:cstheme="minorHAnsi"/>
                <w:b/>
              </w:rPr>
            </w:pPr>
          </w:p>
          <w:p w:rsidR="0061044D" w:rsidRPr="00215823" w:rsidRDefault="0061044D" w:rsidP="00215823">
            <w:pPr>
              <w:rPr>
                <w:rFonts w:cstheme="minorHAnsi"/>
                <w:b/>
              </w:rPr>
            </w:pPr>
          </w:p>
          <w:p w:rsidR="0061044D" w:rsidRPr="006C2122" w:rsidRDefault="0061044D" w:rsidP="006C2122">
            <w:pPr>
              <w:rPr>
                <w:rFonts w:cstheme="minorHAnsi"/>
                <w:b/>
              </w:rPr>
            </w:pPr>
          </w:p>
          <w:p w:rsidR="000A6C66" w:rsidRPr="00366684" w:rsidRDefault="000A6C66" w:rsidP="00366684">
            <w:pPr>
              <w:rPr>
                <w:rFonts w:cstheme="minorHAnsi"/>
                <w:b/>
              </w:rPr>
            </w:pPr>
          </w:p>
        </w:tc>
        <w:tc>
          <w:tcPr>
            <w:tcW w:w="1620" w:type="dxa"/>
          </w:tcPr>
          <w:p w:rsidR="00205ACD" w:rsidRDefault="00317EB4" w:rsidP="00CA513B">
            <w:pPr>
              <w:rPr>
                <w:b/>
              </w:rPr>
            </w:pPr>
            <w:r>
              <w:rPr>
                <w:b/>
              </w:rPr>
              <w:lastRenderedPageBreak/>
              <w:t xml:space="preserve">Randy </w:t>
            </w:r>
            <w:proofErr w:type="spellStart"/>
            <w:r>
              <w:rPr>
                <w:b/>
              </w:rPr>
              <w:t>Chenard</w:t>
            </w:r>
            <w:proofErr w:type="spellEnd"/>
          </w:p>
          <w:p w:rsidR="00366684" w:rsidRPr="00382C14" w:rsidRDefault="00317EB4" w:rsidP="00CA513B">
            <w:pPr>
              <w:rPr>
                <w:b/>
              </w:rPr>
            </w:pPr>
            <w:r>
              <w:rPr>
                <w:b/>
              </w:rPr>
              <w:t>10:35 (45</w:t>
            </w:r>
            <w:r w:rsidR="00366684">
              <w:rPr>
                <w:b/>
              </w:rPr>
              <w:t xml:space="preserve"> min)</w:t>
            </w:r>
          </w:p>
          <w:p w:rsidR="000C5E04" w:rsidRPr="00382C14" w:rsidRDefault="000C5E04" w:rsidP="00CA513B">
            <w:pPr>
              <w:rPr>
                <w:b/>
              </w:rPr>
            </w:pPr>
          </w:p>
        </w:tc>
        <w:tc>
          <w:tcPr>
            <w:tcW w:w="4050" w:type="dxa"/>
          </w:tcPr>
          <w:p w:rsidR="00794936" w:rsidRDefault="00C8324B" w:rsidP="006F2FDF">
            <w:pPr>
              <w:rPr>
                <w:rFonts w:cstheme="minorHAnsi"/>
              </w:rPr>
            </w:pPr>
            <w:r>
              <w:rPr>
                <w:rFonts w:cstheme="minorHAnsi"/>
              </w:rPr>
              <w:t>Randy reviewed the SIM Status a</w:t>
            </w:r>
            <w:r w:rsidR="000059F6">
              <w:rPr>
                <w:rFonts w:cstheme="minorHAnsi"/>
              </w:rPr>
              <w:t>t a Glance and the 6 Strategic Pillars.</w:t>
            </w:r>
            <w:r>
              <w:rPr>
                <w:rFonts w:cstheme="minorHAnsi"/>
              </w:rPr>
              <w:t xml:space="preserve">  All of these </w:t>
            </w:r>
            <w:r w:rsidR="000059F6">
              <w:rPr>
                <w:rFonts w:cstheme="minorHAnsi"/>
              </w:rPr>
              <w:t>pillars/</w:t>
            </w:r>
            <w:r>
              <w:rPr>
                <w:rFonts w:cstheme="minorHAnsi"/>
              </w:rPr>
              <w:t xml:space="preserve">objectives do relate to the Triple Aim.  </w:t>
            </w:r>
            <w:r w:rsidR="000059F6">
              <w:rPr>
                <w:rFonts w:cstheme="minorHAnsi"/>
              </w:rPr>
              <w:t>There is still w</w:t>
            </w:r>
            <w:r>
              <w:rPr>
                <w:rFonts w:cstheme="minorHAnsi"/>
              </w:rPr>
              <w:t xml:space="preserve">ork to do </w:t>
            </w:r>
            <w:r w:rsidR="000059F6">
              <w:rPr>
                <w:rFonts w:cstheme="minorHAnsi"/>
              </w:rPr>
              <w:t>to map them to the Triple Aim and it will be a focus of t</w:t>
            </w:r>
            <w:r>
              <w:rPr>
                <w:rFonts w:cstheme="minorHAnsi"/>
              </w:rPr>
              <w:t xml:space="preserve">he </w:t>
            </w:r>
            <w:proofErr w:type="spellStart"/>
            <w:r>
              <w:rPr>
                <w:rFonts w:cstheme="minorHAnsi"/>
              </w:rPr>
              <w:t>Lewin</w:t>
            </w:r>
            <w:proofErr w:type="spellEnd"/>
            <w:r w:rsidR="000059F6">
              <w:rPr>
                <w:rFonts w:cstheme="minorHAnsi"/>
              </w:rPr>
              <w:t xml:space="preserve"> Team to</w:t>
            </w:r>
            <w:r>
              <w:rPr>
                <w:rFonts w:cstheme="minorHAnsi"/>
              </w:rPr>
              <w:t xml:space="preserve"> assist in accomplishing this task.</w:t>
            </w:r>
          </w:p>
          <w:p w:rsidR="00C8324B" w:rsidRDefault="00C8324B" w:rsidP="006F2FDF">
            <w:pPr>
              <w:rPr>
                <w:rFonts w:cstheme="minorHAnsi"/>
              </w:rPr>
            </w:pPr>
          </w:p>
          <w:p w:rsidR="0002253E" w:rsidRDefault="000059F6" w:rsidP="0002253E">
            <w:pPr>
              <w:rPr>
                <w:rFonts w:cstheme="minorHAnsi"/>
              </w:rPr>
            </w:pPr>
            <w:r>
              <w:rPr>
                <w:rFonts w:cstheme="minorHAnsi"/>
              </w:rPr>
              <w:t>Randy gave a brief overview of the Accountability Targets</w:t>
            </w:r>
            <w:r w:rsidR="0002253E">
              <w:rPr>
                <w:rFonts w:cstheme="minorHAnsi"/>
              </w:rPr>
              <w:t xml:space="preserve"> and the status of each objective which is tracked quarterly and are represented by colors of </w:t>
            </w:r>
            <w:r w:rsidR="00C8324B">
              <w:rPr>
                <w:rFonts w:cstheme="minorHAnsi"/>
              </w:rPr>
              <w:t xml:space="preserve">Red, Green, </w:t>
            </w:r>
            <w:r w:rsidR="0002253E">
              <w:rPr>
                <w:rFonts w:cstheme="minorHAnsi"/>
              </w:rPr>
              <w:t xml:space="preserve">and </w:t>
            </w:r>
            <w:r w:rsidR="00C8324B">
              <w:rPr>
                <w:rFonts w:cstheme="minorHAnsi"/>
              </w:rPr>
              <w:t>Yellow</w:t>
            </w:r>
            <w:r w:rsidR="0002253E">
              <w:rPr>
                <w:rFonts w:cstheme="minorHAnsi"/>
              </w:rPr>
              <w:t>.  Based on the actual accomplishments in a given quarter will translate to that color.  Each box represents a quarter.</w:t>
            </w:r>
          </w:p>
          <w:p w:rsidR="00C8324B" w:rsidRDefault="00C8324B" w:rsidP="006F2FDF">
            <w:pPr>
              <w:rPr>
                <w:rFonts w:cstheme="minorHAnsi"/>
              </w:rPr>
            </w:pPr>
          </w:p>
          <w:p w:rsidR="00C8324B" w:rsidRDefault="007C44E4" w:rsidP="006F2FDF">
            <w:pPr>
              <w:rPr>
                <w:rFonts w:cstheme="minorHAnsi"/>
              </w:rPr>
            </w:pPr>
            <w:r>
              <w:rPr>
                <w:rFonts w:cstheme="minorHAnsi"/>
              </w:rPr>
              <w:t>From these process measures the</w:t>
            </w:r>
            <w:r w:rsidR="00C8324B">
              <w:rPr>
                <w:rFonts w:cstheme="minorHAnsi"/>
              </w:rPr>
              <w:t xml:space="preserve"> </w:t>
            </w:r>
            <w:proofErr w:type="spellStart"/>
            <w:r w:rsidR="00C8324B">
              <w:rPr>
                <w:rFonts w:cstheme="minorHAnsi"/>
              </w:rPr>
              <w:t>Lewin</w:t>
            </w:r>
            <w:proofErr w:type="spellEnd"/>
            <w:r w:rsidR="00C8324B">
              <w:rPr>
                <w:rFonts w:cstheme="minorHAnsi"/>
              </w:rPr>
              <w:t xml:space="preserve"> group will determine what the outcomes </w:t>
            </w:r>
            <w:r w:rsidR="00C8324B">
              <w:rPr>
                <w:rFonts w:cstheme="minorHAnsi"/>
              </w:rPr>
              <w:lastRenderedPageBreak/>
              <w:t>of that date will accomplish.</w:t>
            </w:r>
            <w:r w:rsidR="0002253E">
              <w:rPr>
                <w:rFonts w:cstheme="minorHAnsi"/>
              </w:rPr>
              <w:t xml:space="preserve"> </w:t>
            </w:r>
            <w:r>
              <w:rPr>
                <w:rFonts w:cstheme="minorHAnsi"/>
              </w:rPr>
              <w:t xml:space="preserve">  The c</w:t>
            </w:r>
            <w:r w:rsidR="00C8324B">
              <w:rPr>
                <w:rFonts w:cstheme="minorHAnsi"/>
              </w:rPr>
              <w:t>hallenge is to get the work at a high enough level to be meaningfully reported</w:t>
            </w:r>
            <w:r>
              <w:rPr>
                <w:rFonts w:cstheme="minorHAnsi"/>
              </w:rPr>
              <w:t xml:space="preserve"> on because e</w:t>
            </w:r>
            <w:r w:rsidR="00C8324B">
              <w:rPr>
                <w:rFonts w:cstheme="minorHAnsi"/>
              </w:rPr>
              <w:t xml:space="preserve">ach objective has a different number of tasks, some </w:t>
            </w:r>
            <w:r w:rsidR="0002253E">
              <w:rPr>
                <w:rFonts w:cstheme="minorHAnsi"/>
              </w:rPr>
              <w:t xml:space="preserve">as much as </w:t>
            </w:r>
            <w:r w:rsidR="00C8324B">
              <w:rPr>
                <w:rFonts w:cstheme="minorHAnsi"/>
              </w:rPr>
              <w:t>100.</w:t>
            </w:r>
          </w:p>
          <w:p w:rsidR="004F020E" w:rsidRDefault="004F020E" w:rsidP="006F2FDF">
            <w:pPr>
              <w:rPr>
                <w:rFonts w:cstheme="minorHAnsi"/>
              </w:rPr>
            </w:pPr>
          </w:p>
          <w:p w:rsidR="00C74DA0" w:rsidRDefault="00C74DA0" w:rsidP="006F2FDF">
            <w:pPr>
              <w:rPr>
                <w:rFonts w:cstheme="minorHAnsi"/>
              </w:rPr>
            </w:pPr>
            <w:r>
              <w:rPr>
                <w:rFonts w:cstheme="minorHAnsi"/>
              </w:rPr>
              <w:t>Question of how were the measures determined:</w:t>
            </w:r>
          </w:p>
          <w:p w:rsidR="004F020E" w:rsidRDefault="004F020E" w:rsidP="006F2FDF">
            <w:pPr>
              <w:rPr>
                <w:rFonts w:cstheme="minorHAnsi"/>
              </w:rPr>
            </w:pPr>
            <w:r>
              <w:rPr>
                <w:rFonts w:cstheme="minorHAnsi"/>
              </w:rPr>
              <w:t xml:space="preserve">The measures were determined by each </w:t>
            </w:r>
            <w:r w:rsidR="0002253E">
              <w:rPr>
                <w:rFonts w:cstheme="minorHAnsi"/>
              </w:rPr>
              <w:t xml:space="preserve">of the </w:t>
            </w:r>
            <w:r>
              <w:rPr>
                <w:rFonts w:cstheme="minorHAnsi"/>
              </w:rPr>
              <w:t>partner</w:t>
            </w:r>
            <w:r w:rsidR="0002253E">
              <w:rPr>
                <w:rFonts w:cstheme="minorHAnsi"/>
              </w:rPr>
              <w:t>s</w:t>
            </w:r>
            <w:r w:rsidR="003243BE">
              <w:rPr>
                <w:rFonts w:cstheme="minorHAnsi"/>
              </w:rPr>
              <w:t>, based on the contracted scope of work</w:t>
            </w:r>
            <w:r>
              <w:rPr>
                <w:rFonts w:cstheme="minorHAnsi"/>
              </w:rPr>
              <w:t xml:space="preserve">.  The outcome measures will be developed and worked on by the </w:t>
            </w:r>
            <w:proofErr w:type="spellStart"/>
            <w:r>
              <w:rPr>
                <w:rFonts w:cstheme="minorHAnsi"/>
              </w:rPr>
              <w:t>Lewin</w:t>
            </w:r>
            <w:proofErr w:type="spellEnd"/>
            <w:r>
              <w:rPr>
                <w:rFonts w:cstheme="minorHAnsi"/>
              </w:rPr>
              <w:t xml:space="preserve"> Group.  </w:t>
            </w:r>
          </w:p>
          <w:p w:rsidR="007C44E4" w:rsidRDefault="007C44E4" w:rsidP="006F2FDF">
            <w:pPr>
              <w:rPr>
                <w:rFonts w:cstheme="minorHAnsi"/>
              </w:rPr>
            </w:pPr>
          </w:p>
          <w:p w:rsidR="00452458" w:rsidRDefault="00C74DA0" w:rsidP="006F2FDF">
            <w:pPr>
              <w:rPr>
                <w:rFonts w:cstheme="minorHAnsi"/>
              </w:rPr>
            </w:pPr>
            <w:r>
              <w:rPr>
                <w:rFonts w:cstheme="minorHAnsi"/>
              </w:rPr>
              <w:t>There is s</w:t>
            </w:r>
            <w:r w:rsidR="004F020E">
              <w:rPr>
                <w:rFonts w:cstheme="minorHAnsi"/>
              </w:rPr>
              <w:t xml:space="preserve">till confusion on where does the DSR </w:t>
            </w:r>
            <w:r>
              <w:rPr>
                <w:rFonts w:cstheme="minorHAnsi"/>
              </w:rPr>
              <w:t xml:space="preserve">committee </w:t>
            </w:r>
            <w:r w:rsidR="004F020E">
              <w:rPr>
                <w:rFonts w:cstheme="minorHAnsi"/>
              </w:rPr>
              <w:t xml:space="preserve">fit into the oversight of the strategies.  </w:t>
            </w:r>
            <w:r w:rsidR="00452458">
              <w:rPr>
                <w:rFonts w:cstheme="minorHAnsi"/>
              </w:rPr>
              <w:t>Should</w:t>
            </w:r>
            <w:r>
              <w:rPr>
                <w:rFonts w:cstheme="minorHAnsi"/>
              </w:rPr>
              <w:t xml:space="preserve"> the committee be</w:t>
            </w:r>
            <w:r w:rsidR="00452458">
              <w:rPr>
                <w:rFonts w:cstheme="minorHAnsi"/>
              </w:rPr>
              <w:t xml:space="preserve"> looking at the impact</w:t>
            </w:r>
            <w:r>
              <w:rPr>
                <w:rFonts w:cstheme="minorHAnsi"/>
              </w:rPr>
              <w:t xml:space="preserve"> or alignment to the Triple Aim?</w:t>
            </w:r>
          </w:p>
          <w:p w:rsidR="00C74DA0" w:rsidRDefault="00C74DA0" w:rsidP="006F2FDF">
            <w:pPr>
              <w:rPr>
                <w:rFonts w:cstheme="minorHAnsi"/>
              </w:rPr>
            </w:pPr>
          </w:p>
          <w:p w:rsidR="00052AB6" w:rsidRDefault="00452458" w:rsidP="006F2FDF">
            <w:pPr>
              <w:rPr>
                <w:rFonts w:cstheme="minorHAnsi"/>
              </w:rPr>
            </w:pPr>
            <w:r>
              <w:rPr>
                <w:rFonts w:cstheme="minorHAnsi"/>
              </w:rPr>
              <w:t xml:space="preserve">Randy clarified </w:t>
            </w:r>
            <w:r w:rsidR="00C74DA0">
              <w:rPr>
                <w:rFonts w:cstheme="minorHAnsi"/>
              </w:rPr>
              <w:t xml:space="preserve">that </w:t>
            </w:r>
            <w:r>
              <w:rPr>
                <w:rFonts w:cstheme="minorHAnsi"/>
              </w:rPr>
              <w:t>we still need to do th</w:t>
            </w:r>
            <w:r w:rsidR="00C74DA0">
              <w:rPr>
                <w:rFonts w:cstheme="minorHAnsi"/>
              </w:rPr>
              <w:t>e</w:t>
            </w:r>
            <w:r>
              <w:rPr>
                <w:rFonts w:cstheme="minorHAnsi"/>
              </w:rPr>
              <w:t xml:space="preserve"> outcome work, define them and be</w:t>
            </w:r>
            <w:r w:rsidR="00C74DA0">
              <w:rPr>
                <w:rFonts w:cstheme="minorHAnsi"/>
              </w:rPr>
              <w:t xml:space="preserve"> clearer about the strategies and w</w:t>
            </w:r>
            <w:r>
              <w:rPr>
                <w:rFonts w:cstheme="minorHAnsi"/>
              </w:rPr>
              <w:t xml:space="preserve">hat </w:t>
            </w:r>
            <w:r w:rsidR="00C74DA0">
              <w:rPr>
                <w:rFonts w:cstheme="minorHAnsi"/>
              </w:rPr>
              <w:t>the objectives are</w:t>
            </w:r>
            <w:r>
              <w:rPr>
                <w:rFonts w:cstheme="minorHAnsi"/>
              </w:rPr>
              <w:t xml:space="preserve">.  </w:t>
            </w:r>
            <w:r w:rsidR="00C74DA0">
              <w:rPr>
                <w:rFonts w:cstheme="minorHAnsi"/>
              </w:rPr>
              <w:t xml:space="preserve">  We are d</w:t>
            </w:r>
            <w:r>
              <w:rPr>
                <w:rFonts w:cstheme="minorHAnsi"/>
              </w:rPr>
              <w:t xml:space="preserve">oing </w:t>
            </w:r>
            <w:r w:rsidR="00C74DA0">
              <w:rPr>
                <w:rFonts w:cstheme="minorHAnsi"/>
              </w:rPr>
              <w:t xml:space="preserve">work now to define the objectives and </w:t>
            </w:r>
            <w:r>
              <w:rPr>
                <w:rFonts w:cstheme="minorHAnsi"/>
              </w:rPr>
              <w:t>how do we effectively engage the SIM Governance.  This will help to inform what the outcomes are.</w:t>
            </w:r>
          </w:p>
          <w:p w:rsidR="00891D89" w:rsidRPr="00382C14" w:rsidRDefault="00891D89" w:rsidP="006F2FDF">
            <w:pPr>
              <w:rPr>
                <w:rFonts w:cstheme="minorHAnsi"/>
              </w:rPr>
            </w:pPr>
          </w:p>
        </w:tc>
        <w:tc>
          <w:tcPr>
            <w:tcW w:w="2790" w:type="dxa"/>
          </w:tcPr>
          <w:p w:rsidR="003243BE" w:rsidRDefault="00336A70" w:rsidP="0061044D">
            <w:pPr>
              <w:contextualSpacing/>
              <w:rPr>
                <w:rFonts w:cstheme="minorHAnsi"/>
              </w:rPr>
            </w:pPr>
            <w:r>
              <w:rPr>
                <w:b/>
              </w:rPr>
              <w:lastRenderedPageBreak/>
              <w:t>Disseminate the Driver Diagr</w:t>
            </w:r>
            <w:r w:rsidR="003243BE">
              <w:rPr>
                <w:b/>
              </w:rPr>
              <w:t>am to the Subcommittee for revie</w:t>
            </w:r>
            <w:r>
              <w:rPr>
                <w:b/>
              </w:rPr>
              <w:t>w</w:t>
            </w:r>
            <w:r w:rsidR="000059F6">
              <w:rPr>
                <w:b/>
              </w:rPr>
              <w:t>.</w:t>
            </w:r>
            <w:r w:rsidR="003243BE">
              <w:rPr>
                <w:rFonts w:cstheme="minorHAnsi"/>
              </w:rPr>
              <w:t xml:space="preserve"> </w:t>
            </w: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3243BE" w:rsidRDefault="003243BE" w:rsidP="0061044D">
            <w:pPr>
              <w:contextualSpacing/>
              <w:rPr>
                <w:rFonts w:cstheme="minorHAnsi"/>
              </w:rPr>
            </w:pPr>
          </w:p>
          <w:p w:rsidR="00944FC0" w:rsidRDefault="003243BE" w:rsidP="003243BE">
            <w:pPr>
              <w:contextualSpacing/>
              <w:rPr>
                <w:rFonts w:cstheme="minorHAnsi"/>
                <w:b/>
              </w:rPr>
            </w:pPr>
            <w:r>
              <w:rPr>
                <w:rFonts w:cstheme="minorHAnsi"/>
              </w:rPr>
              <w:t xml:space="preserve">There was a recommendation to ensure that consumers are informing the final measures developed by the </w:t>
            </w:r>
            <w:proofErr w:type="spellStart"/>
            <w:r>
              <w:rPr>
                <w:rFonts w:cstheme="minorHAnsi"/>
              </w:rPr>
              <w:t>Lewin</w:t>
            </w:r>
            <w:proofErr w:type="spellEnd"/>
            <w:r>
              <w:rPr>
                <w:rFonts w:cstheme="minorHAnsi"/>
              </w:rPr>
              <w:t xml:space="preserve"> Group.</w:t>
            </w:r>
          </w:p>
          <w:p w:rsidR="00944FC0" w:rsidRDefault="00944FC0" w:rsidP="00944FC0">
            <w:pPr>
              <w:rPr>
                <w:rFonts w:cstheme="minorHAnsi"/>
              </w:rPr>
            </w:pPr>
          </w:p>
          <w:p w:rsidR="00944FC0" w:rsidRDefault="00944FC0" w:rsidP="00944FC0">
            <w:pPr>
              <w:rPr>
                <w:rFonts w:cstheme="minorHAnsi"/>
              </w:rPr>
            </w:pPr>
          </w:p>
          <w:p w:rsidR="00944FC0" w:rsidRDefault="00944FC0" w:rsidP="00944FC0">
            <w:pPr>
              <w:rPr>
                <w:rFonts w:cstheme="minorHAnsi"/>
              </w:rPr>
            </w:pPr>
          </w:p>
          <w:p w:rsidR="000A6C66" w:rsidRPr="00944FC0" w:rsidRDefault="000A6C66" w:rsidP="00944FC0">
            <w:pPr>
              <w:ind w:firstLine="720"/>
              <w:rPr>
                <w:rFonts w:cstheme="minorHAnsi"/>
              </w:rPr>
            </w:pPr>
          </w:p>
        </w:tc>
      </w:tr>
      <w:tr w:rsidR="000A6C66" w:rsidRPr="00382C14" w:rsidTr="001D798E">
        <w:tc>
          <w:tcPr>
            <w:tcW w:w="3708" w:type="dxa"/>
          </w:tcPr>
          <w:p w:rsidR="000A6C66" w:rsidRDefault="00794936" w:rsidP="00752238">
            <w:pPr>
              <w:pStyle w:val="ListParagraph"/>
              <w:numPr>
                <w:ilvl w:val="0"/>
                <w:numId w:val="1"/>
              </w:numPr>
              <w:rPr>
                <w:rFonts w:asciiTheme="minorHAnsi" w:hAnsiTheme="minorHAnsi"/>
                <w:b/>
              </w:rPr>
            </w:pPr>
            <w:r>
              <w:rPr>
                <w:rFonts w:asciiTheme="minorHAnsi" w:hAnsiTheme="minorHAnsi"/>
                <w:b/>
              </w:rPr>
              <w:lastRenderedPageBreak/>
              <w:t>Risk/Dependencies</w:t>
            </w:r>
          </w:p>
          <w:p w:rsidR="00366684" w:rsidRDefault="00317EB4" w:rsidP="00794936">
            <w:pPr>
              <w:pStyle w:val="ListParagraph"/>
              <w:ind w:left="360"/>
              <w:rPr>
                <w:rFonts w:asciiTheme="minorHAnsi" w:hAnsiTheme="minorHAnsi"/>
                <w:b/>
              </w:rPr>
            </w:pPr>
            <w:r>
              <w:rPr>
                <w:rFonts w:asciiTheme="minorHAnsi" w:hAnsiTheme="minorHAnsi"/>
                <w:b/>
              </w:rPr>
              <w:t>Review of SIM Risk Management Log</w:t>
            </w:r>
          </w:p>
          <w:p w:rsidR="00366684" w:rsidRPr="00C31E27" w:rsidRDefault="00317EB4" w:rsidP="00C31E27">
            <w:pPr>
              <w:pStyle w:val="ListParagraph"/>
              <w:ind w:left="360"/>
              <w:rPr>
                <w:rFonts w:asciiTheme="minorHAnsi" w:hAnsiTheme="minorHAnsi"/>
                <w:b/>
              </w:rPr>
            </w:pPr>
            <w:r>
              <w:rPr>
                <w:rFonts w:asciiTheme="minorHAnsi" w:hAnsiTheme="minorHAnsi"/>
                <w:b/>
              </w:rPr>
              <w:t xml:space="preserve">Expected Action: Provide update on current risks being mitigated </w:t>
            </w:r>
            <w:r>
              <w:rPr>
                <w:rFonts w:asciiTheme="minorHAnsi" w:hAnsiTheme="minorHAnsi"/>
                <w:b/>
              </w:rPr>
              <w:lastRenderedPageBreak/>
              <w:t>at steering committee level and to identify any ad</w:t>
            </w:r>
            <w:r w:rsidR="00C31E27">
              <w:rPr>
                <w:rFonts w:asciiTheme="minorHAnsi" w:hAnsiTheme="minorHAnsi"/>
                <w:b/>
              </w:rPr>
              <w:t>ditional risks from subcommittee</w:t>
            </w:r>
          </w:p>
        </w:tc>
        <w:tc>
          <w:tcPr>
            <w:tcW w:w="1620" w:type="dxa"/>
          </w:tcPr>
          <w:p w:rsidR="000A6C66" w:rsidRDefault="000A6C66" w:rsidP="00CA513B">
            <w:pPr>
              <w:rPr>
                <w:b/>
              </w:rPr>
            </w:pPr>
            <w:r w:rsidRPr="00382C14">
              <w:rPr>
                <w:b/>
              </w:rPr>
              <w:lastRenderedPageBreak/>
              <w:t>All</w:t>
            </w:r>
          </w:p>
          <w:p w:rsidR="00205ACD" w:rsidRPr="00382C14" w:rsidRDefault="00205ACD" w:rsidP="00CA513B">
            <w:pPr>
              <w:rPr>
                <w:b/>
              </w:rPr>
            </w:pPr>
          </w:p>
          <w:p w:rsidR="000C5E04" w:rsidRPr="00382C14" w:rsidRDefault="00317EB4" w:rsidP="00CA513B">
            <w:pPr>
              <w:rPr>
                <w:b/>
              </w:rPr>
            </w:pPr>
            <w:r>
              <w:rPr>
                <w:b/>
              </w:rPr>
              <w:t>11:20 (20</w:t>
            </w:r>
            <w:r w:rsidR="00794936">
              <w:rPr>
                <w:b/>
              </w:rPr>
              <w:t xml:space="preserve"> min)</w:t>
            </w:r>
          </w:p>
          <w:p w:rsidR="000C5E04" w:rsidRPr="00382C14" w:rsidRDefault="000C5E04" w:rsidP="00CA513B">
            <w:pPr>
              <w:rPr>
                <w:b/>
              </w:rPr>
            </w:pPr>
          </w:p>
        </w:tc>
        <w:tc>
          <w:tcPr>
            <w:tcW w:w="4050" w:type="dxa"/>
          </w:tcPr>
          <w:p w:rsidR="004D7294" w:rsidRDefault="00944FC0" w:rsidP="004D7294">
            <w:pPr>
              <w:rPr>
                <w:rFonts w:cstheme="minorHAnsi"/>
              </w:rPr>
            </w:pPr>
            <w:r>
              <w:rPr>
                <w:rFonts w:cstheme="minorHAnsi"/>
              </w:rPr>
              <w:t xml:space="preserve">The group used the example of the risk that Gerry </w:t>
            </w:r>
            <w:proofErr w:type="spellStart"/>
            <w:r>
              <w:rPr>
                <w:rFonts w:cstheme="minorHAnsi"/>
              </w:rPr>
              <w:t>Quelly</w:t>
            </w:r>
            <w:proofErr w:type="spellEnd"/>
            <w:r>
              <w:rPr>
                <w:rFonts w:cstheme="minorHAnsi"/>
              </w:rPr>
              <w:t xml:space="preserve"> identified at the top of the meeting to work through their understanding of the risk mitigation process.  </w:t>
            </w:r>
          </w:p>
          <w:p w:rsidR="004D7294" w:rsidRDefault="004D7294" w:rsidP="004D7294">
            <w:pPr>
              <w:rPr>
                <w:rFonts w:cstheme="minorHAnsi"/>
              </w:rPr>
            </w:pPr>
          </w:p>
          <w:p w:rsidR="004D7294" w:rsidRDefault="004D7294" w:rsidP="004D7294">
            <w:pPr>
              <w:rPr>
                <w:rFonts w:cstheme="minorHAnsi"/>
              </w:rPr>
            </w:pPr>
            <w:r>
              <w:rPr>
                <w:rFonts w:cstheme="minorHAnsi"/>
              </w:rPr>
              <w:t>Lisa asked the committee to think about identifying risks in their discipline and bring back to the next meeting.</w:t>
            </w:r>
          </w:p>
          <w:p w:rsidR="00205ACD" w:rsidRPr="00382C14" w:rsidRDefault="00205ACD" w:rsidP="00944FC0"/>
        </w:tc>
        <w:tc>
          <w:tcPr>
            <w:tcW w:w="2790" w:type="dxa"/>
          </w:tcPr>
          <w:p w:rsidR="000A6C66" w:rsidRPr="00382C14" w:rsidRDefault="00944FC0" w:rsidP="00836435">
            <w:pPr>
              <w:rPr>
                <w:b/>
              </w:rPr>
            </w:pPr>
            <w:r>
              <w:rPr>
                <w:b/>
              </w:rPr>
              <w:lastRenderedPageBreak/>
              <w:t xml:space="preserve">Distribute the SIM Risk Mitigation Process document to the </w:t>
            </w:r>
            <w:r w:rsidR="00836435">
              <w:rPr>
                <w:b/>
              </w:rPr>
              <w:t>Subco</w:t>
            </w:r>
            <w:r w:rsidR="0064565A">
              <w:rPr>
                <w:b/>
              </w:rPr>
              <w:t>m</w:t>
            </w:r>
            <w:r w:rsidR="00836435">
              <w:rPr>
                <w:b/>
              </w:rPr>
              <w:t>mittee</w:t>
            </w:r>
          </w:p>
        </w:tc>
      </w:tr>
      <w:tr w:rsidR="00DC45C1" w:rsidRPr="00382C14" w:rsidTr="001D798E">
        <w:tc>
          <w:tcPr>
            <w:tcW w:w="3708" w:type="dxa"/>
          </w:tcPr>
          <w:p w:rsidR="00205ACD" w:rsidRPr="00052AB6" w:rsidRDefault="00317EB4" w:rsidP="00052AB6">
            <w:pPr>
              <w:pStyle w:val="ListParagraph"/>
              <w:numPr>
                <w:ilvl w:val="0"/>
                <w:numId w:val="1"/>
              </w:numPr>
              <w:rPr>
                <w:rFonts w:asciiTheme="minorHAnsi" w:hAnsiTheme="minorHAnsi"/>
                <w:b/>
              </w:rPr>
            </w:pPr>
            <w:r>
              <w:rPr>
                <w:rFonts w:asciiTheme="minorHAnsi" w:hAnsiTheme="minorHAnsi"/>
                <w:b/>
              </w:rPr>
              <w:lastRenderedPageBreak/>
              <w:t>Interested Parties Public Comment</w:t>
            </w:r>
          </w:p>
        </w:tc>
        <w:tc>
          <w:tcPr>
            <w:tcW w:w="1620" w:type="dxa"/>
          </w:tcPr>
          <w:p w:rsidR="00DC45C1" w:rsidRDefault="00DC45C1" w:rsidP="00CA513B">
            <w:pPr>
              <w:rPr>
                <w:b/>
              </w:rPr>
            </w:pPr>
            <w:r>
              <w:rPr>
                <w:b/>
              </w:rPr>
              <w:t>All</w:t>
            </w:r>
          </w:p>
          <w:p w:rsidR="00317EB4" w:rsidRPr="00382C14" w:rsidRDefault="00317EB4" w:rsidP="00CA513B">
            <w:pPr>
              <w:rPr>
                <w:b/>
              </w:rPr>
            </w:pPr>
            <w:r>
              <w:rPr>
                <w:b/>
              </w:rPr>
              <w:t>11:40 (10 min)</w:t>
            </w:r>
          </w:p>
        </w:tc>
        <w:tc>
          <w:tcPr>
            <w:tcW w:w="4050" w:type="dxa"/>
          </w:tcPr>
          <w:p w:rsidR="00205ACD" w:rsidRDefault="00052AB6" w:rsidP="00DC45C1">
            <w:pPr>
              <w:rPr>
                <w:b/>
              </w:rPr>
            </w:pPr>
            <w:r>
              <w:rPr>
                <w:b/>
              </w:rPr>
              <w:t>None</w:t>
            </w:r>
          </w:p>
        </w:tc>
        <w:tc>
          <w:tcPr>
            <w:tcW w:w="2790" w:type="dxa"/>
          </w:tcPr>
          <w:p w:rsidR="00DC45C1" w:rsidRPr="00382C14" w:rsidRDefault="00DC45C1" w:rsidP="00CA513B">
            <w:pPr>
              <w:rPr>
                <w:b/>
              </w:rPr>
            </w:pPr>
          </w:p>
        </w:tc>
      </w:tr>
      <w:tr w:rsidR="000A6C66" w:rsidRPr="00382C14" w:rsidTr="001D798E">
        <w:tc>
          <w:tcPr>
            <w:tcW w:w="3708" w:type="dxa"/>
          </w:tcPr>
          <w:p w:rsidR="000A6C66" w:rsidRPr="00382C14" w:rsidRDefault="00317EB4" w:rsidP="00752238">
            <w:pPr>
              <w:pStyle w:val="ListParagraph"/>
              <w:numPr>
                <w:ilvl w:val="0"/>
                <w:numId w:val="1"/>
              </w:numPr>
              <w:rPr>
                <w:rFonts w:asciiTheme="minorHAnsi" w:hAnsiTheme="minorHAnsi"/>
                <w:b/>
              </w:rPr>
            </w:pPr>
            <w:r>
              <w:rPr>
                <w:rFonts w:asciiTheme="minorHAnsi" w:hAnsiTheme="minorHAnsi"/>
                <w:b/>
              </w:rPr>
              <w:t>Evaluation</w:t>
            </w:r>
          </w:p>
        </w:tc>
        <w:tc>
          <w:tcPr>
            <w:tcW w:w="1620" w:type="dxa"/>
          </w:tcPr>
          <w:p w:rsidR="000A6C66" w:rsidRPr="00382C14" w:rsidRDefault="000A6C66" w:rsidP="00CA513B">
            <w:pPr>
              <w:rPr>
                <w:b/>
              </w:rPr>
            </w:pPr>
            <w:r w:rsidRPr="00382C14">
              <w:rPr>
                <w:b/>
              </w:rPr>
              <w:t>All</w:t>
            </w:r>
          </w:p>
          <w:p w:rsidR="00046DB0" w:rsidRPr="00382C14" w:rsidRDefault="00046DB0" w:rsidP="00CA513B">
            <w:pPr>
              <w:rPr>
                <w:b/>
              </w:rPr>
            </w:pPr>
            <w:r w:rsidRPr="00382C14">
              <w:rPr>
                <w:b/>
              </w:rPr>
              <w:t>11:50</w:t>
            </w:r>
          </w:p>
          <w:p w:rsidR="000C5E04" w:rsidRPr="00382C14" w:rsidRDefault="000C5E04" w:rsidP="00CA513B">
            <w:pPr>
              <w:rPr>
                <w:b/>
              </w:rPr>
            </w:pPr>
          </w:p>
        </w:tc>
        <w:tc>
          <w:tcPr>
            <w:tcW w:w="4050" w:type="dxa"/>
          </w:tcPr>
          <w:p w:rsidR="00891D89" w:rsidRPr="00891D89" w:rsidRDefault="00052AB6" w:rsidP="00CA513B">
            <w:r w:rsidRPr="00891D89">
              <w:t xml:space="preserve">There were 28 people in attendance.  </w:t>
            </w:r>
          </w:p>
          <w:p w:rsidR="00891D89" w:rsidRPr="00891D89" w:rsidRDefault="00891D89" w:rsidP="00CA513B"/>
          <w:p w:rsidR="000A6C66" w:rsidRPr="00891D89" w:rsidRDefault="00052AB6" w:rsidP="00CA513B">
            <w:r w:rsidRPr="00891D89">
              <w:t>Evalu</w:t>
            </w:r>
            <w:r w:rsidR="00836435" w:rsidRPr="00891D89">
              <w:t xml:space="preserve">ations scored between 5 and 9 with the majority at 8. (One score at 3)  </w:t>
            </w:r>
          </w:p>
          <w:p w:rsidR="00891D89" w:rsidRPr="00891D89" w:rsidRDefault="00891D89" w:rsidP="00CA513B"/>
          <w:p w:rsidR="00052AB6" w:rsidRPr="00891D89" w:rsidRDefault="00052AB6" w:rsidP="004D7294">
            <w:r w:rsidRPr="00891D89">
              <w:t>Committee members agreed that the group time</w:t>
            </w:r>
            <w:r w:rsidR="004D7294" w:rsidRPr="00891D89">
              <w:t xml:space="preserve"> and discussion process works well and makes them feel heard.  Lisa’s recap of the past 8 months</w:t>
            </w:r>
            <w:r w:rsidRPr="00891D89">
              <w:t xml:space="preserve"> </w:t>
            </w:r>
            <w:r w:rsidR="004D7294" w:rsidRPr="00891D89">
              <w:t>was well received.   Some committee members still feel that there are too many items on the agenda with insufficient time to discuss.   More time on discussion, less on process.</w:t>
            </w:r>
          </w:p>
          <w:p w:rsidR="00891D89" w:rsidRPr="00382C14" w:rsidRDefault="00891D89" w:rsidP="004D7294"/>
        </w:tc>
        <w:tc>
          <w:tcPr>
            <w:tcW w:w="2790" w:type="dxa"/>
          </w:tcPr>
          <w:p w:rsidR="000A6C66" w:rsidRPr="00382C14" w:rsidRDefault="000A6C66" w:rsidP="00CA513B">
            <w:pPr>
              <w:rPr>
                <w:b/>
              </w:rPr>
            </w:pPr>
          </w:p>
        </w:tc>
      </w:tr>
      <w:tr w:rsidR="000A6C66" w:rsidRPr="00382C14" w:rsidTr="001D798E">
        <w:tc>
          <w:tcPr>
            <w:tcW w:w="3708" w:type="dxa"/>
          </w:tcPr>
          <w:p w:rsidR="00794936" w:rsidRDefault="00317EB4" w:rsidP="009D0255">
            <w:pPr>
              <w:rPr>
                <w:b/>
              </w:rPr>
            </w:pPr>
            <w:r>
              <w:rPr>
                <w:b/>
              </w:rPr>
              <w:t>September Meeting</w:t>
            </w:r>
          </w:p>
          <w:p w:rsidR="00317EB4" w:rsidRDefault="00317EB4" w:rsidP="009D0255">
            <w:pPr>
              <w:rPr>
                <w:b/>
              </w:rPr>
            </w:pPr>
            <w:r>
              <w:rPr>
                <w:b/>
              </w:rPr>
              <w:t>Topics TBD</w:t>
            </w:r>
          </w:p>
          <w:p w:rsidR="00CC6A19" w:rsidRPr="00382C14" w:rsidRDefault="00CC6A19" w:rsidP="009D0255">
            <w:pPr>
              <w:rPr>
                <w:b/>
              </w:rPr>
            </w:pPr>
            <w:r>
              <w:rPr>
                <w:b/>
              </w:rPr>
              <w:t>*Note: October Meeting moved to second Wednesday (October 8</w:t>
            </w:r>
            <w:r w:rsidRPr="00CC6A19">
              <w:rPr>
                <w:b/>
                <w:vertAlign w:val="superscript"/>
              </w:rPr>
              <w:t>th</w:t>
            </w:r>
            <w:r>
              <w:rPr>
                <w:b/>
              </w:rPr>
              <w:t>)</w:t>
            </w:r>
          </w:p>
        </w:tc>
        <w:tc>
          <w:tcPr>
            <w:tcW w:w="1620" w:type="dxa"/>
          </w:tcPr>
          <w:p w:rsidR="000C5E04" w:rsidRPr="00382C14" w:rsidRDefault="000C5E04" w:rsidP="00CA513B">
            <w:pPr>
              <w:rPr>
                <w:b/>
              </w:rPr>
            </w:pPr>
          </w:p>
          <w:p w:rsidR="000C5E04" w:rsidRPr="00382C14" w:rsidRDefault="000C5E04" w:rsidP="00CA513B">
            <w:pPr>
              <w:rPr>
                <w:b/>
              </w:rPr>
            </w:pPr>
          </w:p>
        </w:tc>
        <w:tc>
          <w:tcPr>
            <w:tcW w:w="4050" w:type="dxa"/>
          </w:tcPr>
          <w:p w:rsidR="000A6C66" w:rsidRPr="00382C14" w:rsidRDefault="00F03098" w:rsidP="00CA513B">
            <w:pPr>
              <w:rPr>
                <w:b/>
              </w:rPr>
            </w:pPr>
            <w:r>
              <w:rPr>
                <w:b/>
              </w:rPr>
              <w:t xml:space="preserve"> </w:t>
            </w:r>
          </w:p>
        </w:tc>
        <w:tc>
          <w:tcPr>
            <w:tcW w:w="2790" w:type="dxa"/>
          </w:tcPr>
          <w:p w:rsidR="000A6C66" w:rsidRPr="00382C14" w:rsidRDefault="000A6C66" w:rsidP="00CA513B">
            <w:pPr>
              <w:rPr>
                <w:b/>
              </w:rPr>
            </w:pPr>
          </w:p>
        </w:tc>
      </w:tr>
    </w:tbl>
    <w:p w:rsidR="002E77E0" w:rsidRPr="00382C14" w:rsidRDefault="002E77E0" w:rsidP="00205ACD">
      <w:pPr>
        <w:spacing w:after="0" w:line="240" w:lineRule="auto"/>
        <w:rPr>
          <w:rFonts w:eastAsia="Times New Roman" w:cs="Times New Roman"/>
          <w:b/>
        </w:rPr>
      </w:pPr>
    </w:p>
    <w:p w:rsidR="00205ACD" w:rsidRDefault="00205ACD" w:rsidP="00752238">
      <w:pPr>
        <w:spacing w:after="0" w:line="240" w:lineRule="auto"/>
        <w:jc w:val="center"/>
        <w:rPr>
          <w:rFonts w:eastAsia="Times New Roman" w:cs="Times New Roman"/>
          <w:b/>
        </w:rPr>
      </w:pPr>
    </w:p>
    <w:p w:rsidR="00317EB4" w:rsidRDefault="00752238" w:rsidP="00752238">
      <w:pPr>
        <w:spacing w:after="0" w:line="240" w:lineRule="auto"/>
        <w:jc w:val="center"/>
        <w:rPr>
          <w:rFonts w:eastAsia="Times New Roman" w:cs="Times New Roman"/>
          <w:b/>
        </w:rPr>
      </w:pPr>
      <w:r w:rsidRPr="00382C14">
        <w:rPr>
          <w:rFonts w:eastAsia="Times New Roman" w:cs="Times New Roman"/>
          <w:b/>
        </w:rPr>
        <w:t>Next Meet</w:t>
      </w:r>
      <w:r w:rsidR="00CE623A" w:rsidRPr="00382C14">
        <w:rPr>
          <w:rFonts w:eastAsia="Times New Roman" w:cs="Times New Roman"/>
          <w:b/>
        </w:rPr>
        <w:t xml:space="preserve">ing: </w:t>
      </w:r>
      <w:r w:rsidR="00317EB4">
        <w:rPr>
          <w:rFonts w:eastAsia="Times New Roman" w:cs="Times New Roman"/>
          <w:b/>
        </w:rPr>
        <w:t>Wednesday September 3</w:t>
      </w:r>
      <w:r w:rsidR="00205ACD">
        <w:rPr>
          <w:rFonts w:eastAsia="Times New Roman" w:cs="Times New Roman"/>
          <w:b/>
        </w:rPr>
        <w:t>,</w:t>
      </w:r>
      <w:r w:rsidR="00F745A6" w:rsidRPr="00382C14">
        <w:rPr>
          <w:rFonts w:eastAsia="Times New Roman" w:cs="Times New Roman"/>
          <w:b/>
        </w:rPr>
        <w:t xml:space="preserve"> 2014</w:t>
      </w:r>
      <w:r w:rsidR="00836435">
        <w:rPr>
          <w:rFonts w:eastAsia="Times New Roman" w:cs="Times New Roman"/>
          <w:b/>
        </w:rPr>
        <w:t xml:space="preserve"> 10:00 </w:t>
      </w:r>
      <w:proofErr w:type="gramStart"/>
      <w:r w:rsidR="00836435">
        <w:rPr>
          <w:rFonts w:eastAsia="Times New Roman" w:cs="Times New Roman"/>
          <w:b/>
        </w:rPr>
        <w:t>AM</w:t>
      </w:r>
      <w:proofErr w:type="gramEnd"/>
      <w:r w:rsidR="00317EB4">
        <w:rPr>
          <w:rFonts w:eastAsia="Times New Roman" w:cs="Times New Roman"/>
          <w:b/>
        </w:rPr>
        <w:t xml:space="preserve"> to </w:t>
      </w:r>
      <w:r w:rsidRPr="00382C14">
        <w:rPr>
          <w:rFonts w:eastAsia="Times New Roman" w:cs="Times New Roman"/>
          <w:b/>
        </w:rPr>
        <w:t xml:space="preserve">Noon; </w:t>
      </w:r>
    </w:p>
    <w:p w:rsidR="00752238" w:rsidRPr="00382C14" w:rsidRDefault="00752238" w:rsidP="00752238">
      <w:pPr>
        <w:spacing w:after="0" w:line="240" w:lineRule="auto"/>
        <w:jc w:val="center"/>
        <w:rPr>
          <w:rFonts w:eastAsia="Times New Roman" w:cs="Times New Roman"/>
          <w:b/>
        </w:rPr>
      </w:pPr>
      <w:r w:rsidRPr="00382C14">
        <w:rPr>
          <w:rFonts w:eastAsia="Times New Roman" w:cs="Times New Roman"/>
          <w:b/>
        </w:rPr>
        <w:t xml:space="preserve">Cohen Center, Maxwell Room, </w:t>
      </w:r>
    </w:p>
    <w:p w:rsidR="002E77E0" w:rsidRDefault="00752238" w:rsidP="001F1605">
      <w:pPr>
        <w:spacing w:after="0" w:line="240" w:lineRule="auto"/>
        <w:jc w:val="center"/>
        <w:rPr>
          <w:rFonts w:eastAsia="Times New Roman" w:cs="Times New Roman"/>
          <w:b/>
        </w:rPr>
      </w:pPr>
      <w:r w:rsidRPr="00382C14">
        <w:rPr>
          <w:rFonts w:eastAsia="Times New Roman" w:cs="Times New Roman"/>
          <w:b/>
        </w:rPr>
        <w:t>22 Town Farm Rd, Hallowell</w:t>
      </w:r>
    </w:p>
    <w:p w:rsidR="00891D89" w:rsidRDefault="00891D89" w:rsidP="001F1605">
      <w:pPr>
        <w:spacing w:after="0" w:line="240" w:lineRule="auto"/>
        <w:jc w:val="center"/>
        <w:rPr>
          <w:rFonts w:eastAsia="Times New Roman" w:cs="Times New Roman"/>
          <w:b/>
        </w:rPr>
      </w:pPr>
    </w:p>
    <w:p w:rsidR="00891D89" w:rsidRPr="00382C14" w:rsidRDefault="00891D89" w:rsidP="001F1605">
      <w:pPr>
        <w:spacing w:after="0" w:line="240" w:lineRule="auto"/>
        <w:jc w:val="center"/>
        <w:rPr>
          <w:rFonts w:eastAsia="Times New Roman" w:cs="Times New Roman"/>
          <w:b/>
        </w:rPr>
      </w:pPr>
    </w:p>
    <w:p w:rsidR="001D1B62" w:rsidRPr="00382C14" w:rsidRDefault="001D1B62" w:rsidP="00DC7D65">
      <w:pPr>
        <w:spacing w:after="0" w:line="240" w:lineRule="auto"/>
        <w:rPr>
          <w:rFonts w:eastAsia="Times New Roman" w:cs="Times New Roman"/>
          <w:b/>
        </w:rPr>
      </w:pPr>
    </w:p>
    <w:p w:rsidR="001D1B62" w:rsidRPr="00382C14" w:rsidRDefault="001D1B62" w:rsidP="001F1605">
      <w:pPr>
        <w:spacing w:after="0" w:line="240" w:lineRule="auto"/>
        <w:jc w:val="center"/>
        <w:rPr>
          <w:rFonts w:eastAsia="Times New Roman" w:cs="Times New Roman"/>
          <w:b/>
        </w:rPr>
      </w:pPr>
    </w:p>
    <w:tbl>
      <w:tblPr>
        <w:tblStyle w:val="TableGrid11"/>
        <w:tblW w:w="0" w:type="auto"/>
        <w:tblLook w:val="04A0" w:firstRow="1" w:lastRow="0" w:firstColumn="1" w:lastColumn="0" w:noHBand="0" w:noVBand="1"/>
      </w:tblPr>
      <w:tblGrid>
        <w:gridCol w:w="1068"/>
        <w:gridCol w:w="4844"/>
        <w:gridCol w:w="2942"/>
        <w:gridCol w:w="2085"/>
        <w:gridCol w:w="2323"/>
      </w:tblGrid>
      <w:tr w:rsidR="00DC2ABE" w:rsidRPr="00382C14" w:rsidTr="001521D1">
        <w:tc>
          <w:tcPr>
            <w:tcW w:w="13262" w:type="dxa"/>
            <w:gridSpan w:val="5"/>
            <w:tcBorders>
              <w:top w:val="single" w:sz="4" w:space="0" w:color="auto"/>
            </w:tcBorders>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lastRenderedPageBreak/>
              <w:t>Delivery System Reform Subcommittee Risks Tracking</w:t>
            </w:r>
          </w:p>
        </w:tc>
      </w:tr>
      <w:tr w:rsidR="00DC2ABE" w:rsidRPr="00382C14" w:rsidTr="00A25DD8">
        <w:tc>
          <w:tcPr>
            <w:tcW w:w="1068"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Date</w:t>
            </w:r>
          </w:p>
        </w:tc>
        <w:tc>
          <w:tcPr>
            <w:tcW w:w="4844"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Risk Definition</w:t>
            </w:r>
          </w:p>
        </w:tc>
        <w:tc>
          <w:tcPr>
            <w:tcW w:w="2942"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Mitigation Options</w:t>
            </w:r>
          </w:p>
        </w:tc>
        <w:tc>
          <w:tcPr>
            <w:tcW w:w="2085"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Pros/Cons</w:t>
            </w:r>
          </w:p>
        </w:tc>
        <w:tc>
          <w:tcPr>
            <w:tcW w:w="2323" w:type="dxa"/>
            <w:shd w:val="clear" w:color="auto" w:fill="D9D9D9" w:themeFill="background1" w:themeFillShade="D9"/>
          </w:tcPr>
          <w:p w:rsidR="00DC2ABE" w:rsidRPr="00382C14" w:rsidRDefault="00DC2ABE" w:rsidP="00DC2ABE">
            <w:pPr>
              <w:rPr>
                <w:rFonts w:asciiTheme="minorHAnsi" w:hAnsiTheme="minorHAnsi"/>
                <w:b/>
                <w:sz w:val="22"/>
                <w:szCs w:val="22"/>
              </w:rPr>
            </w:pPr>
            <w:r w:rsidRPr="00382C14">
              <w:rPr>
                <w:rFonts w:asciiTheme="minorHAnsi" w:hAnsiTheme="minorHAnsi"/>
                <w:b/>
                <w:sz w:val="22"/>
                <w:szCs w:val="22"/>
              </w:rPr>
              <w:t>Assigned To</w:t>
            </w:r>
          </w:p>
        </w:tc>
      </w:tr>
      <w:tr w:rsidR="00227D1E" w:rsidRPr="00382C14" w:rsidTr="00DE28EB">
        <w:tc>
          <w:tcPr>
            <w:tcW w:w="1068" w:type="dxa"/>
          </w:tcPr>
          <w:p w:rsidR="00227D1E" w:rsidRDefault="00227D1E" w:rsidP="00DE28EB">
            <w:bookmarkStart w:id="0" w:name="_GoBack"/>
            <w:bookmarkEnd w:id="0"/>
            <w:r>
              <w:t>8/6/14</w:t>
            </w:r>
          </w:p>
          <w:p w:rsidR="00227D1E" w:rsidRDefault="00227D1E" w:rsidP="00DE28EB"/>
          <w:p w:rsidR="00227D1E" w:rsidRDefault="00227D1E" w:rsidP="00DE28EB"/>
          <w:p w:rsidR="00227D1E" w:rsidRPr="008A58FD" w:rsidRDefault="00227D1E" w:rsidP="00DE28EB"/>
        </w:tc>
        <w:tc>
          <w:tcPr>
            <w:tcW w:w="4844" w:type="dxa"/>
          </w:tcPr>
          <w:p w:rsidR="00227D1E" w:rsidRPr="00891D89" w:rsidRDefault="006F557D" w:rsidP="00DE28EB">
            <w:pPr>
              <w:rPr>
                <w:rFonts w:asciiTheme="minorHAnsi" w:hAnsiTheme="minorHAnsi" w:cstheme="minorHAnsi"/>
                <w:sz w:val="22"/>
                <w:szCs w:val="22"/>
              </w:rPr>
            </w:pPr>
            <w:r w:rsidRPr="00891D89">
              <w:rPr>
                <w:rFonts w:asciiTheme="minorHAnsi" w:hAnsiTheme="minorHAnsi" w:cstheme="minorHAnsi"/>
                <w:sz w:val="22"/>
                <w:szCs w:val="22"/>
              </w:rPr>
              <w:t>The Opportunity to involve SIM in the rewriting of the ACBS Waiver required by March 15</w:t>
            </w:r>
            <w:r w:rsidRPr="00891D89">
              <w:rPr>
                <w:rFonts w:asciiTheme="minorHAnsi" w:hAnsiTheme="minorHAnsi" w:cstheme="minorHAnsi"/>
                <w:sz w:val="22"/>
                <w:szCs w:val="22"/>
                <w:vertAlign w:val="superscript"/>
              </w:rPr>
              <w:t>th</w:t>
            </w:r>
            <w:r w:rsidRPr="00891D89">
              <w:rPr>
                <w:rFonts w:asciiTheme="minorHAnsi" w:hAnsiTheme="minorHAnsi" w:cstheme="minorHAnsi"/>
                <w:sz w:val="22"/>
                <w:szCs w:val="22"/>
              </w:rPr>
              <w:t>.</w:t>
            </w:r>
          </w:p>
        </w:tc>
        <w:tc>
          <w:tcPr>
            <w:tcW w:w="2942" w:type="dxa"/>
          </w:tcPr>
          <w:p w:rsidR="00227D1E" w:rsidRDefault="00227D1E" w:rsidP="00DE28EB"/>
        </w:tc>
        <w:tc>
          <w:tcPr>
            <w:tcW w:w="2085" w:type="dxa"/>
          </w:tcPr>
          <w:p w:rsidR="00227D1E" w:rsidRPr="008A58FD" w:rsidRDefault="00227D1E" w:rsidP="00DE28EB">
            <w:pPr>
              <w:rPr>
                <w:b/>
              </w:rPr>
            </w:pPr>
          </w:p>
        </w:tc>
        <w:tc>
          <w:tcPr>
            <w:tcW w:w="2323" w:type="dxa"/>
          </w:tcPr>
          <w:p w:rsidR="00227D1E" w:rsidRDefault="00227D1E" w:rsidP="00DE28EB">
            <w:pPr>
              <w:rPr>
                <w:b/>
              </w:rPr>
            </w:pPr>
          </w:p>
        </w:tc>
      </w:tr>
      <w:tr w:rsidR="00A80B89" w:rsidRPr="00382C14" w:rsidTr="00DE28EB">
        <w:tc>
          <w:tcPr>
            <w:tcW w:w="1068" w:type="dxa"/>
          </w:tcPr>
          <w:p w:rsidR="00A80B89" w:rsidRPr="008A58FD" w:rsidRDefault="00A80B89" w:rsidP="00DE28EB">
            <w:pPr>
              <w:rPr>
                <w:rFonts w:asciiTheme="minorHAnsi" w:hAnsiTheme="minorHAnsi"/>
                <w:sz w:val="22"/>
                <w:szCs w:val="22"/>
              </w:rPr>
            </w:pPr>
            <w:r w:rsidRPr="008A58FD">
              <w:rPr>
                <w:rFonts w:asciiTheme="minorHAnsi" w:hAnsiTheme="minorHAnsi"/>
                <w:sz w:val="22"/>
                <w:szCs w:val="22"/>
              </w:rPr>
              <w:t>6/4/14</w:t>
            </w:r>
          </w:p>
          <w:p w:rsidR="00A80B89" w:rsidRPr="008A58FD" w:rsidRDefault="00A80B89" w:rsidP="00DE28EB">
            <w:pPr>
              <w:rPr>
                <w:rFonts w:asciiTheme="minorHAnsi" w:hAnsiTheme="minorHAnsi"/>
                <w:sz w:val="22"/>
                <w:szCs w:val="22"/>
              </w:rPr>
            </w:pPr>
          </w:p>
          <w:p w:rsidR="00A80B89" w:rsidRPr="008A58FD" w:rsidRDefault="00A80B89" w:rsidP="00DE28EB">
            <w:pPr>
              <w:rPr>
                <w:rFonts w:asciiTheme="minorHAnsi" w:hAnsiTheme="minorHAnsi"/>
                <w:sz w:val="22"/>
                <w:szCs w:val="22"/>
              </w:rPr>
            </w:pPr>
          </w:p>
        </w:tc>
        <w:tc>
          <w:tcPr>
            <w:tcW w:w="4844"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The rate structure for the BHHOs presents a risk that services required are not sustainable </w:t>
            </w:r>
          </w:p>
        </w:tc>
        <w:tc>
          <w:tcPr>
            <w:tcW w:w="2942" w:type="dxa"/>
          </w:tcPr>
          <w:p w:rsidR="00A80B89" w:rsidRPr="008A58FD" w:rsidRDefault="00A80B89" w:rsidP="00DE28EB">
            <w:pPr>
              <w:rPr>
                <w:rFonts w:asciiTheme="minorHAnsi" w:hAnsiTheme="minorHAnsi"/>
                <w:sz w:val="22"/>
                <w:szCs w:val="22"/>
              </w:rPr>
            </w:pPr>
            <w:r>
              <w:rPr>
                <w:rFonts w:asciiTheme="minorHAnsi" w:hAnsiTheme="minorHAnsi"/>
                <w:sz w:val="22"/>
                <w:szCs w:val="22"/>
              </w:rPr>
              <w:t xml:space="preserve">Explore with </w:t>
            </w:r>
            <w:proofErr w:type="spellStart"/>
            <w:r>
              <w:rPr>
                <w:rFonts w:asciiTheme="minorHAnsi" w:hAnsiTheme="minorHAnsi"/>
                <w:sz w:val="22"/>
                <w:szCs w:val="22"/>
              </w:rPr>
              <w:t>MaineCare</w:t>
            </w:r>
            <w:proofErr w:type="spellEnd"/>
            <w:r>
              <w:rPr>
                <w:rFonts w:asciiTheme="minorHAnsi" w:hAnsiTheme="minorHAnsi"/>
                <w:sz w:val="22"/>
                <w:szCs w:val="22"/>
              </w:rPr>
              <w:t xml:space="preserve"> and Payment Reform Subcommittee?</w:t>
            </w:r>
          </w:p>
        </w:tc>
        <w:tc>
          <w:tcPr>
            <w:tcW w:w="2085" w:type="dxa"/>
          </w:tcPr>
          <w:p w:rsidR="00A80B89" w:rsidRPr="008A58FD" w:rsidRDefault="00A80B89" w:rsidP="00DE28EB">
            <w:pPr>
              <w:rPr>
                <w:rFonts w:asciiTheme="minorHAnsi" w:hAnsiTheme="minorHAnsi"/>
                <w:b/>
                <w:sz w:val="22"/>
                <w:szCs w:val="22"/>
              </w:rPr>
            </w:pPr>
          </w:p>
        </w:tc>
        <w:tc>
          <w:tcPr>
            <w:tcW w:w="2323" w:type="dxa"/>
          </w:tcPr>
          <w:p w:rsidR="00A80B89" w:rsidRPr="008A58FD" w:rsidRDefault="00A80B89" w:rsidP="00DE28EB">
            <w:pPr>
              <w:rPr>
                <w:rFonts w:asciiTheme="minorHAnsi" w:hAnsiTheme="minorHAnsi"/>
                <w:b/>
                <w:sz w:val="22"/>
                <w:szCs w:val="22"/>
              </w:rPr>
            </w:pPr>
            <w:r>
              <w:rPr>
                <w:rFonts w:asciiTheme="minorHAnsi" w:hAnsiTheme="minorHAnsi"/>
                <w:b/>
                <w:sz w:val="22"/>
                <w:szCs w:val="22"/>
              </w:rPr>
              <w:t xml:space="preserve">Initiative Owners: </w:t>
            </w:r>
            <w:proofErr w:type="spellStart"/>
            <w:r>
              <w:rPr>
                <w:rFonts w:asciiTheme="minorHAnsi" w:hAnsiTheme="minorHAnsi"/>
                <w:b/>
                <w:sz w:val="22"/>
                <w:szCs w:val="22"/>
              </w:rPr>
              <w:t>MaineCare</w:t>
            </w:r>
            <w:proofErr w:type="spellEnd"/>
            <w:r>
              <w:rPr>
                <w:rFonts w:asciiTheme="minorHAnsi" w:hAnsiTheme="minorHAnsi"/>
                <w:b/>
                <w:sz w:val="22"/>
                <w:szCs w:val="22"/>
              </w:rPr>
              <w:t>; Anne Conners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4/9/14</w:t>
            </w:r>
          </w:p>
        </w:tc>
        <w:tc>
          <w:tcPr>
            <w:tcW w:w="4844" w:type="dxa"/>
          </w:tcPr>
          <w:p w:rsidR="00E57983" w:rsidRPr="00382C14" w:rsidRDefault="00405094" w:rsidP="00E57983">
            <w:pPr>
              <w:rPr>
                <w:rFonts w:asciiTheme="minorHAnsi" w:hAnsiTheme="minorHAnsi"/>
                <w:sz w:val="22"/>
                <w:szCs w:val="22"/>
              </w:rPr>
            </w:pPr>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1B589D" w:rsidRPr="00382C14" w:rsidTr="00A25DD8">
        <w:tc>
          <w:tcPr>
            <w:tcW w:w="1068" w:type="dxa"/>
          </w:tcPr>
          <w:p w:rsidR="001B589D" w:rsidRPr="00382C14" w:rsidRDefault="001B589D"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1B589D" w:rsidRPr="00382C14" w:rsidRDefault="00E57983" w:rsidP="00E57983">
            <w:pPr>
              <w:rPr>
                <w:rFonts w:asciiTheme="minorHAnsi" w:hAnsiTheme="minorHAnsi"/>
                <w:sz w:val="22"/>
                <w:szCs w:val="22"/>
              </w:rPr>
            </w:pPr>
            <w:r w:rsidRPr="00382C14">
              <w:rPr>
                <w:rFonts w:asciiTheme="minorHAnsi" w:hAnsiTheme="minorHAnsi"/>
                <w:sz w:val="22"/>
                <w:szCs w:val="22"/>
              </w:rPr>
              <w:t>Consumer engagement across SIM Initiatives and Governance structure may not be sufficient to ensure that consumer recommendations are incorporated into critical aspects of the work.</w:t>
            </w:r>
          </w:p>
        </w:tc>
        <w:tc>
          <w:tcPr>
            <w:tcW w:w="2942" w:type="dxa"/>
          </w:tcPr>
          <w:p w:rsidR="001B589D" w:rsidRPr="00382C14" w:rsidRDefault="001B589D" w:rsidP="00DC2ABE">
            <w:pPr>
              <w:rPr>
                <w:rFonts w:asciiTheme="minorHAnsi" w:hAnsiTheme="minorHAnsi"/>
                <w:sz w:val="22"/>
                <w:szCs w:val="22"/>
              </w:rPr>
            </w:pPr>
          </w:p>
        </w:tc>
        <w:tc>
          <w:tcPr>
            <w:tcW w:w="2085" w:type="dxa"/>
          </w:tcPr>
          <w:p w:rsidR="001B589D" w:rsidRPr="00382C14" w:rsidRDefault="001B589D" w:rsidP="00DC2ABE">
            <w:pPr>
              <w:rPr>
                <w:rFonts w:asciiTheme="minorHAnsi" w:hAnsiTheme="minorHAnsi"/>
                <w:b/>
                <w:sz w:val="22"/>
                <w:szCs w:val="22"/>
              </w:rPr>
            </w:pPr>
          </w:p>
        </w:tc>
        <w:tc>
          <w:tcPr>
            <w:tcW w:w="2323" w:type="dxa"/>
          </w:tcPr>
          <w:p w:rsidR="001B589D" w:rsidRPr="00382C14" w:rsidRDefault="001B589D"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Consumer/member involvement in communications and design of initiatives</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61044D">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3/5/14</w:t>
            </w:r>
          </w:p>
        </w:tc>
        <w:tc>
          <w:tcPr>
            <w:tcW w:w="4844" w:type="dxa"/>
          </w:tcPr>
          <w:p w:rsidR="00E57983" w:rsidRPr="00382C14" w:rsidRDefault="00E57983" w:rsidP="00E57983">
            <w:pPr>
              <w:rPr>
                <w:rFonts w:asciiTheme="minorHAnsi" w:hAnsiTheme="minorHAnsi"/>
                <w:sz w:val="22"/>
                <w:szCs w:val="22"/>
              </w:rPr>
            </w:pPr>
            <w:r w:rsidRPr="00382C14">
              <w:rPr>
                <w:rFonts w:asciiTheme="minorHAnsi" w:hAnsiTheme="minorHAnsi"/>
                <w:sz w:val="22"/>
                <w:szCs w:val="22"/>
              </w:rPr>
              <w:t>Patients may feel they are losing something in the Choosing Wisely work</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P3 Pilots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National Diabetes Prevention Program fidelity standards may not be appropriate for populations of complex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Coordination between provider and employer organizations for National Diabetes Prevention Program – the communications must be fluid in order to successfully implement for sustainability</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Initiative owner: MCDC</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A25DD8">
            <w:pPr>
              <w:rPr>
                <w:rFonts w:asciiTheme="minorHAnsi" w:hAnsiTheme="minorHAnsi"/>
                <w:sz w:val="22"/>
                <w:szCs w:val="22"/>
              </w:rPr>
            </w:pPr>
            <w:r w:rsidRPr="00382C14">
              <w:rPr>
                <w:rFonts w:asciiTheme="minorHAnsi" w:hAnsiTheme="minorHAnsi"/>
                <w:sz w:val="22"/>
                <w:szCs w:val="22"/>
              </w:rPr>
              <w:t>Change capacity for provider community may be maxed out – change fatigue – providers may not be able to adopt changes put forth under SIM</w:t>
            </w:r>
          </w:p>
          <w:p w:rsidR="00E57983" w:rsidRPr="00382C14" w:rsidRDefault="00E57983" w:rsidP="00A25DD8">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and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Relationship between all the players in the SIM initiatives, CHW, Peer Support, Care Coordinators, </w:t>
            </w:r>
            <w:r w:rsidRPr="00382C14">
              <w:rPr>
                <w:rFonts w:asciiTheme="minorHAnsi" w:hAnsiTheme="minorHAnsi"/>
                <w:sz w:val="22"/>
                <w:szCs w:val="22"/>
              </w:rPr>
              <w:lastRenderedPageBreak/>
              <w:t>etc., may lead to fragmented care and complications for patients</w:t>
            </w:r>
          </w:p>
          <w:p w:rsidR="00E57983" w:rsidRPr="00382C14" w:rsidRDefault="00E57983" w:rsidP="00DC2ABE">
            <w:pPr>
              <w:rPr>
                <w:rFonts w:asciiTheme="minorHAnsi" w:hAnsiTheme="minorHAnsi"/>
                <w:sz w:val="22"/>
                <w:szCs w:val="22"/>
              </w:rPr>
            </w:pP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DSR – March meeting will explore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25 new HH primary care practices applied under Stage B opening – there are no identified mechanisms or decisions on how to support these practices through the learning collaborative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Data gathering for HH and BHHO measures is not determined</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Need to determine CMS timeline for specifications as first step</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Program</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Team/</w:t>
            </w: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/CMS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Unclear on the regional capacity to support the BHHO structure </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Look at regional capacity through applicants for Stage B;</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Barriers to passing certain behavioral health information (e.g., substance abuse) may constrain integrated care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Explore State Waivers; work with Region 1 SAMSHA; Launch consumer engagement efforts to encourage patients to endorse sharing of information for care</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 BHHO Learning Collaborative; Data Infrastructure Subcommittee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Patients served by BHHO may not all be in HH primary care practices; Muskie analysis shows about 7000 patients in gag</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Work with large providers to apply for HH; Educate members on options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People living with substance use disorders fall through the cracks between Stage A and Stage B</w:t>
            </w:r>
          </w:p>
          <w:p w:rsidR="00E57983" w:rsidRPr="00382C14" w:rsidRDefault="00E57983" w:rsidP="00DC2ABE">
            <w:pPr>
              <w:rPr>
                <w:rFonts w:asciiTheme="minorHAnsi" w:hAnsiTheme="minorHAnsi"/>
                <w:sz w:val="22"/>
                <w:szCs w:val="22"/>
              </w:rPr>
            </w:pPr>
            <w:r w:rsidRPr="00382C14">
              <w:rPr>
                <w:rFonts w:asciiTheme="minorHAnsi" w:hAnsiTheme="minorHAnsi"/>
                <w:sz w:val="22"/>
                <w:szCs w:val="22"/>
              </w:rPr>
              <w:t>Revised: SIM Stage A includes Substance Abuse as an eligible condition – however continuum of care, payment options; and other issues challenge the ability of this population to receive quality, continuous care across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Identify how the HH Learning Collaborative can advance solutions for primary care; identify and assign mitigation to other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Care coordination across SIM Initiatives may become confusing and duplicative; particularly considering specific populations (e.g., people living with intellectual disabilities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Bring into March DSR Subcommittee for recommendations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Sustainability of BHHO model and payment </w:t>
            </w:r>
            <w:r w:rsidRPr="00382C14">
              <w:rPr>
                <w:rFonts w:asciiTheme="minorHAnsi" w:hAnsiTheme="minorHAnsi"/>
                <w:sz w:val="22"/>
                <w:szCs w:val="22"/>
              </w:rPr>
              <w:lastRenderedPageBreak/>
              <w:t>structure requires broad stakeholder commitment</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xml:space="preserve">; BHHO </w:t>
            </w:r>
            <w:r w:rsidRPr="00382C14">
              <w:rPr>
                <w:rFonts w:asciiTheme="minorHAnsi" w:hAnsiTheme="minorHAnsi"/>
                <w:b/>
                <w:sz w:val="22"/>
                <w:szCs w:val="22"/>
              </w:rPr>
              <w:lastRenderedPageBreak/>
              <w:t>Learning Collaborative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Consumers may not be appropriately educated/prepared for participation in HH/BHHO structures</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Launch consumer engagement campaigns focused on </w:t>
            </w:r>
            <w:proofErr w:type="spellStart"/>
            <w:r w:rsidRPr="00382C14">
              <w:rPr>
                <w:rFonts w:asciiTheme="minorHAnsi" w:hAnsiTheme="minorHAnsi"/>
                <w:sz w:val="22"/>
                <w:szCs w:val="22"/>
              </w:rPr>
              <w:t>MaineCare</w:t>
            </w:r>
            <w:proofErr w:type="spellEnd"/>
            <w:r w:rsidRPr="00382C14">
              <w:rPr>
                <w:rFonts w:asciiTheme="minorHAnsi" w:hAnsiTheme="minorHAnsi"/>
                <w:sz w:val="22"/>
                <w:szCs w:val="22"/>
              </w:rPr>
              <w:t xml:space="preserve"> patients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proofErr w:type="spellStart"/>
            <w:r w:rsidRPr="00382C14">
              <w:rPr>
                <w:rFonts w:asciiTheme="minorHAnsi" w:hAnsiTheme="minorHAnsi"/>
                <w:b/>
                <w:sz w:val="22"/>
                <w:szCs w:val="22"/>
              </w:rPr>
              <w:t>MaineCare</w:t>
            </w:r>
            <w:proofErr w:type="spellEnd"/>
            <w:r w:rsidRPr="00382C14">
              <w:rPr>
                <w:rFonts w:asciiTheme="minorHAnsi" w:hAnsiTheme="minorHAnsi"/>
                <w:b/>
                <w:sz w:val="22"/>
                <w:szCs w:val="22"/>
              </w:rPr>
              <w:t>; Delivery System Reform Subcommittee; SIM Leadership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1/8/14</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xml:space="preserve"> for HH and BHHO may require technical innovations to support remote participation</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Review technical capacity for facilitating learning </w:t>
            </w:r>
            <w:proofErr w:type="spellStart"/>
            <w:r w:rsidRPr="00382C14">
              <w:rPr>
                <w:rFonts w:asciiTheme="minorHAnsi" w:hAnsiTheme="minorHAnsi"/>
                <w:sz w:val="22"/>
                <w:szCs w:val="22"/>
              </w:rPr>
              <w:t>collaboratives</w:t>
            </w:r>
            <w:proofErr w:type="spellEnd"/>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Quality Counts</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Continuation of enhanced primary care payment to support the PCMH/HH/CCT model is critical to sustaining the transformation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State support for continuation of enhanced payment model</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Recommended: Steering Committee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Understanding the difference between the Community Care Team, Community Health Worker, Care Manager and Case Manager models is critical to ensure effective funding, implementation and sustainability of these models in the delivery system</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collaborative work with the initiatives to clarify the different in the models and how they can be used in conjunction; possibly encourage a CHW pilot in conjunction with a Community Care Team in order to test the interaction</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Behavioral Health Home Learning Collaborative; Community Health Worker Initiative</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Tracking of short and long term results from the enhanced primary care models is critical to ensure that stakeholders are aware of the value being derived from the models to the Delivery System, Employers, Payers and Government</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Work with existing evaluation teams from the PCMH Pilot and HH Model, as well as SIM evaluation to ensure that short term benefits and results are tracked in a timely way and communicated to stakeholders</w:t>
            </w: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HH Learning Collaborative; Muskie; SIM Evaluation Team</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12/4/13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Gap in connection of primary care (including PCMH and HH practices) to the Health Information Exchange and the associated functions (e.g. notification and alerting) will limit capability of primary care to attain efficiencies in accordance </w:t>
            </w:r>
            <w:r w:rsidRPr="00382C14">
              <w:rPr>
                <w:rFonts w:asciiTheme="minorHAnsi" w:hAnsiTheme="minorHAnsi"/>
                <w:sz w:val="22"/>
                <w:szCs w:val="22"/>
              </w:rPr>
              <w:lastRenderedPageBreak/>
              <w:t>with the SIM mission/vision and DSR Subcommittee Charge.</w:t>
            </w:r>
          </w:p>
        </w:tc>
        <w:tc>
          <w:tcPr>
            <w:tcW w:w="2942" w:type="dxa"/>
          </w:tcPr>
          <w:p w:rsidR="00E57983" w:rsidRPr="00382C14" w:rsidRDefault="00E57983" w:rsidP="00DC2ABE">
            <w:pPr>
              <w:rPr>
                <w:rFonts w:asciiTheme="minorHAnsi" w:hAnsiTheme="minorHAnsi"/>
                <w:sz w:val="22"/>
                <w:szCs w:val="22"/>
              </w:rPr>
            </w:pPr>
          </w:p>
        </w:tc>
        <w:tc>
          <w:tcPr>
            <w:tcW w:w="2085" w:type="dxa"/>
          </w:tcPr>
          <w:p w:rsidR="00E57983" w:rsidRPr="00382C14" w:rsidRDefault="00E57983" w:rsidP="00DC2ABE">
            <w:pPr>
              <w:rPr>
                <w:rFonts w:asciiTheme="minorHAnsi" w:hAnsiTheme="minorHAnsi"/>
                <w:b/>
                <w:sz w:val="22"/>
                <w:szCs w:val="22"/>
              </w:rPr>
            </w:pP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Data Infrastructure Subcommittee</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 xml:space="preserve">Confusion in language of the Charge:  </w:t>
            </w:r>
            <w:proofErr w:type="gramStart"/>
            <w:r w:rsidRPr="00382C14">
              <w:rPr>
                <w:rFonts w:asciiTheme="minorHAnsi" w:hAnsiTheme="minorHAnsi"/>
                <w:sz w:val="22"/>
                <w:szCs w:val="22"/>
              </w:rPr>
              <w:t>that Subcommittee members</w:t>
            </w:r>
            <w:proofErr w:type="gramEnd"/>
            <w:r w:rsidRPr="00382C14">
              <w:rPr>
                <w:rFonts w:asciiTheme="minorHAnsi" w:hAnsiTheme="minorHAnsi"/>
                <w:sz w:val="22"/>
                <w:szCs w:val="22"/>
              </w:rPr>
              <w:t xml:space="preserve"> may not have sufficient authority to influence the SIM Initiatives, in part because of their advisory role, and in part because of the reality that some of the Initiatives are already in the Implementation stage.  Given the substantial expertise and skill among our collective members and the intensity of time required to participate in SIM, addressing this concern is critical to sustain engagement. </w:t>
            </w:r>
          </w:p>
        </w:tc>
        <w:tc>
          <w:tcPr>
            <w:tcW w:w="2942"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1) clarify with the Governance Structure the actual ability of the Subcommittees to influence SIM initiatives, 2) define the tracking and feedback mechanisms for their recommendations (for example, what are the results of their recommendations, and how are they documented and responded to), and 3) to structure my agendas and working sessions to be explicit about the stage of each initiative and what expected actions the Subcommittee has.</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mitigation steps will improve meeting process and clarify expected actions for members;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be sufficient for all members to feel appropriately empowered based on their expectations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p w:rsidR="00E57983" w:rsidRPr="00382C14" w:rsidRDefault="00E57983" w:rsidP="00DC2ABE">
            <w:pPr>
              <w:rPr>
                <w:rFonts w:asciiTheme="minorHAnsi" w:hAnsiTheme="minorHAnsi"/>
                <w:b/>
                <w:sz w:val="22"/>
                <w:szCs w:val="22"/>
              </w:rPr>
            </w:pPr>
          </w:p>
          <w:p w:rsidR="00E57983" w:rsidRPr="00382C14" w:rsidRDefault="00E57983" w:rsidP="00DC2ABE">
            <w:pPr>
              <w:rPr>
                <w:rFonts w:asciiTheme="minorHAnsi" w:hAnsiTheme="minorHAnsi"/>
                <w:b/>
                <w:sz w:val="22"/>
                <w:szCs w:val="22"/>
              </w:rPr>
            </w:pP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11/6/13</w:t>
            </w:r>
          </w:p>
        </w:tc>
        <w:tc>
          <w:tcPr>
            <w:tcW w:w="4844" w:type="dxa"/>
          </w:tcPr>
          <w:p w:rsidR="00E57983" w:rsidRPr="00382C14" w:rsidRDefault="00E57983" w:rsidP="00DC2ABE">
            <w:pPr>
              <w:rPr>
                <w:rFonts w:asciiTheme="minorHAnsi" w:hAnsiTheme="minorHAnsi"/>
                <w:b/>
                <w:sz w:val="22"/>
                <w:szCs w:val="22"/>
              </w:rPr>
            </w:pPr>
            <w:r w:rsidRPr="00382C14">
              <w:rPr>
                <w:rFonts w:asciiTheme="minorHAnsi" w:hAnsiTheme="minorHAnsi"/>
                <w:sz w:val="22"/>
                <w:szCs w:val="22"/>
              </w:rPr>
              <w:t>Concerns that ability of the Subcommittee to influence authentic consumer engagement of initiatives under SIM is limited.  A specific example was a complaint that the Behavioral Health Home RFA development process did not authentically engage consumers in the design of the BHH.  What can be done from the Subcommittee perspective and the larger SIM governance structure to ensure that consumers are adequately involved going forward, and in other initiatives under SIM – even if those are beyond the control (as this one is) of the Subcommittee’s scope.</w:t>
            </w:r>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ensure that in our review of SIM Initiatives on the Delivery System Reform Subcommittee, we include a focused criteria/framework consideration of authentic consumer engagement, and document any recommendations that result; 2) to bring the concerns to the Governance Structure to be addressed and responded to, and 3) to appropriately track and close the results of the recommendations and what was done with them.</w:t>
            </w:r>
          </w:p>
          <w:p w:rsidR="00E57983" w:rsidRPr="00382C14" w:rsidRDefault="00E57983" w:rsidP="00DC2ABE">
            <w:pPr>
              <w:ind w:left="360"/>
              <w:rPr>
                <w:rFonts w:asciiTheme="minorHAnsi" w:hAnsiTheme="minorHAnsi"/>
                <w:b/>
                <w:sz w:val="22"/>
                <w:szCs w:val="22"/>
              </w:rPr>
            </w:pP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 xml:space="preserve">Pros: mitigation steps will improve meeting process and clarify results of subcommittee actions; </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mitigation may not sufficiently address consumer engagement concerns across SIM initiatives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SIM Project Management</w:t>
            </w:r>
          </w:p>
        </w:tc>
      </w:tr>
      <w:tr w:rsidR="00E57983" w:rsidRPr="00382C14" w:rsidTr="00A25DD8">
        <w:tc>
          <w:tcPr>
            <w:tcW w:w="1068"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lastRenderedPageBreak/>
              <w:t>10/31/13</w:t>
            </w:r>
          </w:p>
        </w:tc>
        <w:tc>
          <w:tcPr>
            <w:tcW w:w="4844"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 xml:space="preserve">Large size of the group and potential Ad Hoc and Interested Parties may complicate meeting process and make the Subcommittee deliberations </w:t>
            </w:r>
            <w:proofErr w:type="spellStart"/>
            <w:r w:rsidRPr="00382C14">
              <w:rPr>
                <w:rFonts w:asciiTheme="minorHAnsi" w:hAnsiTheme="minorHAnsi"/>
                <w:sz w:val="22"/>
                <w:szCs w:val="22"/>
              </w:rPr>
              <w:t>unmanagable</w:t>
            </w:r>
            <w:proofErr w:type="spellEnd"/>
          </w:p>
        </w:tc>
        <w:tc>
          <w:tcPr>
            <w:tcW w:w="2942" w:type="dxa"/>
          </w:tcPr>
          <w:p w:rsidR="00E57983" w:rsidRPr="00382C14" w:rsidRDefault="00E57983" w:rsidP="00DC2ABE">
            <w:pPr>
              <w:rPr>
                <w:rFonts w:asciiTheme="minorHAnsi" w:hAnsiTheme="minorHAnsi"/>
                <w:sz w:val="22"/>
                <w:szCs w:val="22"/>
              </w:rPr>
            </w:pPr>
            <w:r w:rsidRPr="00382C14">
              <w:rPr>
                <w:rFonts w:asciiTheme="minorHAnsi" w:hAnsiTheme="minorHAnsi"/>
                <w:sz w:val="22"/>
                <w:szCs w:val="22"/>
              </w:rPr>
              <w:t>1) Create a process to identify Core and Ad Hoc consensus voting members clearly for each meeting</w:t>
            </w:r>
          </w:p>
        </w:tc>
        <w:tc>
          <w:tcPr>
            <w:tcW w:w="2085"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Pros: will focus and support meeting process</w:t>
            </w:r>
          </w:p>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Cons: may inadvertently limit engagement of Interested parties</w:t>
            </w:r>
          </w:p>
        </w:tc>
        <w:tc>
          <w:tcPr>
            <w:tcW w:w="2323" w:type="dxa"/>
          </w:tcPr>
          <w:p w:rsidR="00E57983" w:rsidRPr="00382C14" w:rsidRDefault="00E57983" w:rsidP="00DC2ABE">
            <w:pPr>
              <w:rPr>
                <w:rFonts w:asciiTheme="minorHAnsi" w:hAnsiTheme="minorHAnsi"/>
                <w:b/>
                <w:sz w:val="22"/>
                <w:szCs w:val="22"/>
              </w:rPr>
            </w:pPr>
            <w:r w:rsidRPr="00382C14">
              <w:rPr>
                <w:rFonts w:asciiTheme="minorHAnsi" w:hAnsiTheme="minorHAnsi"/>
                <w:b/>
                <w:sz w:val="22"/>
                <w:szCs w:val="22"/>
              </w:rPr>
              <w:t>Subcommittee Chair</w:t>
            </w:r>
          </w:p>
        </w:tc>
      </w:tr>
    </w:tbl>
    <w:p w:rsidR="00DC2ABE" w:rsidRPr="00382C14" w:rsidRDefault="00DC2ABE" w:rsidP="00CA513B">
      <w:pPr>
        <w:rPr>
          <w:rStyle w:val="Strong"/>
          <w:color w:val="1F497D" w:themeColor="text2"/>
        </w:rPr>
      </w:pPr>
    </w:p>
    <w:tbl>
      <w:tblPr>
        <w:tblStyle w:val="TableGrid2"/>
        <w:tblW w:w="0" w:type="auto"/>
        <w:tblLook w:val="04A0" w:firstRow="1" w:lastRow="0" w:firstColumn="1" w:lastColumn="0" w:noHBand="0" w:noVBand="1"/>
      </w:tblPr>
      <w:tblGrid>
        <w:gridCol w:w="5167"/>
        <w:gridCol w:w="8095"/>
      </w:tblGrid>
      <w:tr w:rsidR="00A93934" w:rsidRPr="00382C14" w:rsidTr="003B18D0">
        <w:tc>
          <w:tcPr>
            <w:tcW w:w="13262" w:type="dxa"/>
            <w:gridSpan w:val="2"/>
            <w:shd w:val="clear" w:color="auto" w:fill="D9D9D9" w:themeFill="background1" w:themeFillShade="D9"/>
          </w:tcPr>
          <w:p w:rsidR="00A93934" w:rsidRPr="00382C14" w:rsidRDefault="00A93934" w:rsidP="00A93934">
            <w:pPr>
              <w:jc w:val="center"/>
              <w:rPr>
                <w:rFonts w:asciiTheme="minorHAnsi" w:hAnsiTheme="minorHAnsi"/>
                <w:b/>
                <w:sz w:val="22"/>
                <w:szCs w:val="22"/>
              </w:rPr>
            </w:pPr>
            <w:r w:rsidRPr="00382C14">
              <w:rPr>
                <w:rFonts w:asciiTheme="minorHAnsi" w:hAnsiTheme="minorHAnsi"/>
                <w:b/>
                <w:sz w:val="22"/>
                <w:szCs w:val="22"/>
              </w:rPr>
              <w:t>Dependencies Tracking</w:t>
            </w:r>
          </w:p>
        </w:tc>
      </w:tr>
      <w:tr w:rsidR="00A93934" w:rsidRPr="00382C14" w:rsidTr="003B18D0">
        <w:tc>
          <w:tcPr>
            <w:tcW w:w="5167"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Payment Reform</w:t>
            </w:r>
          </w:p>
        </w:tc>
        <w:tc>
          <w:tcPr>
            <w:tcW w:w="8095" w:type="dxa"/>
          </w:tcPr>
          <w:p w:rsidR="00A93934" w:rsidRPr="00382C14" w:rsidRDefault="00A93934" w:rsidP="00A93934">
            <w:pPr>
              <w:rPr>
                <w:rFonts w:asciiTheme="minorHAnsi" w:hAnsiTheme="minorHAnsi"/>
                <w:b/>
                <w:sz w:val="22"/>
                <w:szCs w:val="22"/>
              </w:rPr>
            </w:pPr>
            <w:r w:rsidRPr="00382C14">
              <w:rPr>
                <w:rFonts w:asciiTheme="minorHAnsi" w:hAnsiTheme="minorHAnsi"/>
                <w:b/>
                <w:sz w:val="22"/>
                <w:szCs w:val="22"/>
              </w:rPr>
              <w:t>Data Infrastructure</w:t>
            </w:r>
          </w:p>
        </w:tc>
      </w:tr>
      <w:tr w:rsidR="00205ACD" w:rsidRPr="00382C14" w:rsidTr="003B18D0">
        <w:tc>
          <w:tcPr>
            <w:tcW w:w="5167" w:type="dxa"/>
          </w:tcPr>
          <w:p w:rsidR="00205ACD" w:rsidRDefault="00205ACD" w:rsidP="00A93934"/>
          <w:p w:rsidR="00205ACD" w:rsidRDefault="00205ACD" w:rsidP="00A93934"/>
          <w:p w:rsidR="00205ACD" w:rsidRDefault="00205ACD" w:rsidP="00A93934"/>
          <w:p w:rsidR="00205ACD" w:rsidRDefault="00205ACD" w:rsidP="00A93934"/>
        </w:tc>
        <w:tc>
          <w:tcPr>
            <w:tcW w:w="8095" w:type="dxa"/>
          </w:tcPr>
          <w:p w:rsidR="00205ACD" w:rsidRDefault="00205ACD" w:rsidP="00A93934"/>
        </w:tc>
      </w:tr>
      <w:tr w:rsidR="008D12EE" w:rsidRPr="00382C14" w:rsidTr="003B18D0">
        <w:tc>
          <w:tcPr>
            <w:tcW w:w="5167" w:type="dxa"/>
          </w:tcPr>
          <w:p w:rsidR="008D12EE" w:rsidRPr="008D12EE" w:rsidRDefault="008D12EE" w:rsidP="00A93934">
            <w:pPr>
              <w:rPr>
                <w:rFonts w:asciiTheme="minorHAnsi" w:hAnsiTheme="minorHAnsi"/>
                <w:sz w:val="22"/>
                <w:szCs w:val="22"/>
              </w:rPr>
            </w:pPr>
            <w:r>
              <w:rPr>
                <w:rFonts w:asciiTheme="minorHAnsi" w:hAnsiTheme="minorHAnsi"/>
                <w:sz w:val="22"/>
                <w:szCs w:val="22"/>
              </w:rPr>
              <w:t>Payment for care coordination services is essential in order to ensure that a comprehensive approach to streamlined care coordination is sustainable</w:t>
            </w:r>
          </w:p>
        </w:tc>
        <w:tc>
          <w:tcPr>
            <w:tcW w:w="8095" w:type="dxa"/>
          </w:tcPr>
          <w:p w:rsidR="008D12EE" w:rsidRPr="007A711B" w:rsidRDefault="007A711B" w:rsidP="00A93934">
            <w:pPr>
              <w:rPr>
                <w:rFonts w:asciiTheme="minorHAnsi" w:hAnsiTheme="minorHAnsi"/>
                <w:sz w:val="22"/>
                <w:szCs w:val="22"/>
              </w:rPr>
            </w:pPr>
            <w:r>
              <w:rPr>
                <w:rFonts w:asciiTheme="minorHAnsi" w:hAnsiTheme="minorHAnsi"/>
                <w:sz w:val="22"/>
                <w:szCs w:val="22"/>
              </w:rPr>
              <w:t>Electronic tools to support care coordination are essential, including shared electronic care plans that allow diverse care team access.</w:t>
            </w:r>
          </w:p>
        </w:tc>
      </w:tr>
      <w:tr w:rsidR="00026C79" w:rsidRPr="00382C14" w:rsidTr="003B18D0">
        <w:tc>
          <w:tcPr>
            <w:tcW w:w="5167" w:type="dxa"/>
          </w:tcPr>
          <w:p w:rsidR="00026C79" w:rsidRPr="00382C14" w:rsidRDefault="00026C79" w:rsidP="00A93934">
            <w:r>
              <w:rPr>
                <w:rFonts w:asciiTheme="minorHAnsi" w:hAnsiTheme="minorHAnsi"/>
                <w:sz w:val="22"/>
                <w:szCs w:val="22"/>
              </w:rPr>
              <w:t xml:space="preserve">There are problems with </w:t>
            </w:r>
            <w:proofErr w:type="spellStart"/>
            <w:r>
              <w:rPr>
                <w:rFonts w:asciiTheme="minorHAnsi" w:hAnsiTheme="minorHAnsi"/>
                <w:sz w:val="22"/>
                <w:szCs w:val="22"/>
              </w:rPr>
              <w:t>MaineCare</w:t>
            </w:r>
            <w:proofErr w:type="spellEnd"/>
            <w:r>
              <w:rPr>
                <w:rFonts w:asciiTheme="minorHAnsi" w:hAnsiTheme="minorHAnsi"/>
                <w:sz w:val="22"/>
                <w:szCs w:val="22"/>
              </w:rPr>
              <w:t xml:space="preserve"> reimbursing for behavioral health integration services which could limit the ability of Health Home and BHHO’s to accomplish integration.</w:t>
            </w:r>
          </w:p>
        </w:tc>
        <w:tc>
          <w:tcPr>
            <w:tcW w:w="8095" w:type="dxa"/>
          </w:tcPr>
          <w:p w:rsidR="00026C79" w:rsidRPr="00382C14" w:rsidRDefault="00026C79" w:rsidP="00A93934"/>
        </w:tc>
      </w:tr>
      <w:tr w:rsidR="00B718DC" w:rsidRPr="00382C14" w:rsidTr="003B18D0">
        <w:tc>
          <w:tcPr>
            <w:tcW w:w="5167" w:type="dxa"/>
          </w:tcPr>
          <w:p w:rsidR="00B718DC" w:rsidRPr="00382C14" w:rsidRDefault="00751FA6" w:rsidP="00A93934">
            <w:pPr>
              <w:rPr>
                <w:rFonts w:asciiTheme="minorHAnsi" w:hAnsiTheme="minorHAnsi"/>
                <w:sz w:val="22"/>
                <w:szCs w:val="22"/>
              </w:rPr>
            </w:pPr>
            <w:r w:rsidRPr="00382C14">
              <w:rPr>
                <w:rFonts w:asciiTheme="minorHAnsi" w:hAnsiTheme="minorHAnsi"/>
                <w:sz w:val="22"/>
                <w:szCs w:val="22"/>
              </w:rPr>
              <w:t>National Diabetes Prevention Program Business Models</w:t>
            </w:r>
          </w:p>
        </w:tc>
        <w:tc>
          <w:tcPr>
            <w:tcW w:w="8095" w:type="dxa"/>
          </w:tcPr>
          <w:p w:rsidR="00B718DC" w:rsidRPr="00382C14" w:rsidRDefault="00751FA6" w:rsidP="00A93934">
            <w:pPr>
              <w:rPr>
                <w:rFonts w:asciiTheme="minorHAnsi" w:hAnsiTheme="minorHAnsi"/>
                <w:sz w:val="22"/>
                <w:szCs w:val="22"/>
              </w:rPr>
            </w:pPr>
            <w:proofErr w:type="spellStart"/>
            <w:r w:rsidRPr="00382C14">
              <w:rPr>
                <w:rFonts w:asciiTheme="minorHAnsi" w:hAnsiTheme="minorHAnsi"/>
                <w:sz w:val="22"/>
                <w:szCs w:val="22"/>
              </w:rPr>
              <w:t>HealthInfo</w:t>
            </w:r>
            <w:proofErr w:type="spellEnd"/>
            <w:r w:rsidRPr="00382C14">
              <w:rPr>
                <w:rFonts w:asciiTheme="minorHAnsi" w:hAnsiTheme="minorHAnsi"/>
                <w:sz w:val="22"/>
                <w:szCs w:val="22"/>
              </w:rPr>
              <w:t xml:space="preserve"> Net notification functions and initiatives under SIM DSR; need ability to leverage HIT tools to accomplish the delivery system reform goals</w:t>
            </w:r>
          </w:p>
        </w:tc>
      </w:tr>
      <w:tr w:rsidR="00A93934" w:rsidRPr="00382C14" w:rsidTr="003B18D0">
        <w:tc>
          <w:tcPr>
            <w:tcW w:w="5167" w:type="dxa"/>
          </w:tcPr>
          <w:p w:rsidR="00A93934" w:rsidRPr="00382C14" w:rsidRDefault="00751FA6" w:rsidP="00A93934">
            <w:pPr>
              <w:rPr>
                <w:rFonts w:asciiTheme="minorHAnsi" w:hAnsiTheme="minorHAnsi"/>
                <w:sz w:val="22"/>
                <w:szCs w:val="22"/>
              </w:rPr>
            </w:pPr>
            <w:r w:rsidRPr="00382C14">
              <w:rPr>
                <w:rFonts w:asciiTheme="minorHAnsi" w:hAnsiTheme="minorHAnsi"/>
                <w:sz w:val="22"/>
                <w:szCs w:val="22"/>
              </w:rPr>
              <w:t>Community Health Worker potential reimbursement/financing models</w:t>
            </w: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 xml:space="preserve">Recommendations for effective sharing of PHI for HH and BHHO; strategies to incorporate in Learning </w:t>
            </w:r>
            <w:proofErr w:type="spellStart"/>
            <w:r w:rsidRPr="00382C14">
              <w:rPr>
                <w:rFonts w:asciiTheme="minorHAnsi" w:hAnsiTheme="minorHAnsi"/>
                <w:sz w:val="22"/>
                <w:szCs w:val="22"/>
              </w:rPr>
              <w:t>Collaboratives</w:t>
            </w:r>
            <w:proofErr w:type="spellEnd"/>
            <w:r w:rsidRPr="00382C14">
              <w:rPr>
                <w:rFonts w:asciiTheme="minorHAnsi" w:hAnsiTheme="minorHAnsi"/>
                <w:sz w:val="22"/>
                <w:szCs w:val="22"/>
              </w:rPr>
              <w:t>; Consumer education recommendations to encourage appropriate sharing of information</w:t>
            </w:r>
          </w:p>
        </w:tc>
      </w:tr>
      <w:tr w:rsidR="00A93934" w:rsidRPr="00382C14" w:rsidTr="003B18D0">
        <w:tc>
          <w:tcPr>
            <w:tcW w:w="5167" w:type="dxa"/>
          </w:tcPr>
          <w:p w:rsidR="00A93934" w:rsidRPr="00382C14" w:rsidRDefault="00A93934" w:rsidP="00A93934">
            <w:pPr>
              <w:rPr>
                <w:rFonts w:asciiTheme="minorHAnsi" w:hAnsiTheme="minorHAnsi"/>
                <w:sz w:val="22"/>
                <w:szCs w:val="22"/>
              </w:rPr>
            </w:pPr>
          </w:p>
        </w:tc>
        <w:tc>
          <w:tcPr>
            <w:tcW w:w="8095" w:type="dxa"/>
          </w:tcPr>
          <w:p w:rsidR="00A93934" w:rsidRPr="00382C14" w:rsidRDefault="008A4222" w:rsidP="00A93934">
            <w:pPr>
              <w:rPr>
                <w:rFonts w:asciiTheme="minorHAnsi" w:hAnsiTheme="minorHAnsi"/>
                <w:sz w:val="22"/>
                <w:szCs w:val="22"/>
              </w:rPr>
            </w:pPr>
            <w:r w:rsidRPr="00382C14">
              <w:rPr>
                <w:rFonts w:asciiTheme="minorHAnsi" w:hAnsiTheme="minorHAnsi"/>
                <w:sz w:val="22"/>
                <w:szCs w:val="22"/>
              </w:rPr>
              <w:t>Data gathering and reporting of quality measures for BHHO and HH;</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Team based care is required in BHHO; yet electronic health records don’t easily track all team members – we need solutions to this functional problem</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How do we broaden use of all PCMH/HH primary care practices of the HIE and functions, such as real-time notifications for ER and Inpatient use and reports?  How can we track uptake and use across the state (e.g., usage stats)</w:t>
            </w:r>
          </w:p>
        </w:tc>
      </w:tr>
      <w:tr w:rsidR="003B18D0" w:rsidRPr="00382C14" w:rsidTr="003B18D0">
        <w:tc>
          <w:tcPr>
            <w:tcW w:w="5167" w:type="dxa"/>
          </w:tcPr>
          <w:p w:rsidR="003B18D0" w:rsidRPr="00382C14" w:rsidRDefault="003B18D0" w:rsidP="00A93934">
            <w:pPr>
              <w:rPr>
                <w:rFonts w:asciiTheme="minorHAnsi" w:hAnsiTheme="minorHAnsi"/>
                <w:sz w:val="22"/>
                <w:szCs w:val="22"/>
              </w:rPr>
            </w:pPr>
          </w:p>
        </w:tc>
        <w:tc>
          <w:tcPr>
            <w:tcW w:w="8095" w:type="dxa"/>
          </w:tcPr>
          <w:p w:rsidR="003B18D0" w:rsidRPr="00382C14" w:rsidRDefault="003B18D0" w:rsidP="003B18D0">
            <w:pPr>
              <w:contextualSpacing/>
              <w:rPr>
                <w:rFonts w:asciiTheme="minorHAnsi" w:hAnsiTheme="minorHAnsi" w:cstheme="minorHAnsi"/>
                <w:sz w:val="22"/>
                <w:szCs w:val="22"/>
              </w:rPr>
            </w:pPr>
            <w:r w:rsidRPr="00382C14">
              <w:rPr>
                <w:rFonts w:asciiTheme="minorHAnsi" w:hAnsiTheme="minorHAnsi" w:cstheme="minorHAnsi"/>
                <w:sz w:val="22"/>
                <w:szCs w:val="22"/>
              </w:rPr>
              <w:t>What solutions (</w:t>
            </w:r>
            <w:proofErr w:type="spellStart"/>
            <w:r w:rsidRPr="00382C14">
              <w:rPr>
                <w:rFonts w:asciiTheme="minorHAnsi" w:hAnsiTheme="minorHAnsi" w:cstheme="minorHAnsi"/>
                <w:sz w:val="22"/>
                <w:szCs w:val="22"/>
              </w:rPr>
              <w:t>e.g</w:t>
            </w:r>
            <w:proofErr w:type="spellEnd"/>
            <w:r w:rsidRPr="00382C14">
              <w:rPr>
                <w:rFonts w:asciiTheme="minorHAnsi" w:hAnsiTheme="minorHAnsi" w:cstheme="minorHAnsi"/>
                <w:sz w:val="22"/>
                <w:szCs w:val="22"/>
              </w:rPr>
              <w:t>, Direct Email) can be used to connect community providers (e.g., Community Health Workers) to critical care management information?</w:t>
            </w:r>
          </w:p>
        </w:tc>
      </w:tr>
      <w:tr w:rsidR="008A4222" w:rsidRPr="00382C14" w:rsidTr="003B18D0">
        <w:tc>
          <w:tcPr>
            <w:tcW w:w="5167" w:type="dxa"/>
          </w:tcPr>
          <w:p w:rsidR="008A4222" w:rsidRPr="00382C14" w:rsidRDefault="008A4222" w:rsidP="00A93934">
            <w:pPr>
              <w:rPr>
                <w:rFonts w:asciiTheme="minorHAnsi" w:hAnsiTheme="minorHAnsi"/>
                <w:sz w:val="22"/>
                <w:szCs w:val="22"/>
              </w:rPr>
            </w:pPr>
          </w:p>
        </w:tc>
        <w:tc>
          <w:tcPr>
            <w:tcW w:w="8095" w:type="dxa"/>
          </w:tcPr>
          <w:p w:rsidR="008A4222" w:rsidRPr="00382C14" w:rsidRDefault="008A4222" w:rsidP="003B18D0">
            <w:pPr>
              <w:rPr>
                <w:rFonts w:asciiTheme="minorHAnsi" w:hAnsiTheme="minorHAnsi"/>
                <w:sz w:val="22"/>
                <w:szCs w:val="22"/>
              </w:rPr>
            </w:pP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lastRenderedPageBreak/>
              <w:t>Critical to ensure that the enhanced primary care payment is continued through the duration of SIM in order to sustain transformation in primary care and delivery system</w:t>
            </w:r>
          </w:p>
        </w:tc>
        <w:tc>
          <w:tcPr>
            <w:tcW w:w="8095"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Gap in connection of primary care (including PCMH and HH practices) to the Health Information Exchange and the associated functions (e.g. notification and alerting) will limit capability of primary care to attain efficiencies in accordance with the SIM mission/vision and DSR Subcommittee Charge.</w:t>
            </w:r>
          </w:p>
        </w:tc>
      </w:tr>
      <w:tr w:rsidR="00A93934" w:rsidRPr="00382C14" w:rsidTr="003B18D0">
        <w:tc>
          <w:tcPr>
            <w:tcW w:w="5167" w:type="dxa"/>
          </w:tcPr>
          <w:p w:rsidR="00A93934" w:rsidRPr="00382C14" w:rsidRDefault="00A93934" w:rsidP="00A93934">
            <w:pPr>
              <w:rPr>
                <w:rFonts w:asciiTheme="minorHAnsi" w:hAnsiTheme="minorHAnsi"/>
                <w:sz w:val="22"/>
                <w:szCs w:val="22"/>
              </w:rPr>
            </w:pPr>
            <w:r w:rsidRPr="00382C14">
              <w:rPr>
                <w:rFonts w:asciiTheme="minorHAnsi" w:hAnsiTheme="minorHAnsi"/>
                <w:sz w:val="22"/>
                <w:szCs w:val="22"/>
              </w:rPr>
              <w:t>Payment models and structure of reimbursement for Community Health Worker Pilots</w:t>
            </w:r>
          </w:p>
        </w:tc>
        <w:tc>
          <w:tcPr>
            <w:tcW w:w="8095" w:type="dxa"/>
          </w:tcPr>
          <w:p w:rsidR="00A93934" w:rsidRPr="00382C14" w:rsidRDefault="00A93934" w:rsidP="00A93934">
            <w:pPr>
              <w:rPr>
                <w:rFonts w:asciiTheme="minorHAnsi" w:hAnsiTheme="minorHAnsi"/>
                <w:b/>
                <w:sz w:val="22"/>
                <w:szCs w:val="22"/>
              </w:rPr>
            </w:pPr>
          </w:p>
        </w:tc>
      </w:tr>
    </w:tbl>
    <w:p w:rsidR="00A93934" w:rsidRDefault="00A93934" w:rsidP="00CA513B">
      <w:pPr>
        <w:rPr>
          <w:rStyle w:val="Strong"/>
          <w:color w:val="1F497D" w:themeColor="text2"/>
        </w:rPr>
      </w:pPr>
    </w:p>
    <w:p w:rsidR="00382C14" w:rsidRPr="00382C14" w:rsidRDefault="00382C14" w:rsidP="00CA513B">
      <w:pPr>
        <w:rPr>
          <w:rStyle w:val="Strong"/>
          <w:color w:val="1F497D" w:themeColor="text2"/>
        </w:rPr>
      </w:pPr>
    </w:p>
    <w:sectPr w:rsidR="00382C14" w:rsidRPr="00382C14" w:rsidSect="001F1605">
      <w:headerReference w:type="default" r:id="rId11"/>
      <w:footerReference w:type="default" r:id="rId12"/>
      <w:pgSz w:w="15840" w:h="12240" w:orient="landscape"/>
      <w:pgMar w:top="1080" w:right="135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768" w:rsidRDefault="00227768" w:rsidP="009528AC">
      <w:pPr>
        <w:spacing w:after="0" w:line="240" w:lineRule="auto"/>
      </w:pPr>
      <w:r>
        <w:separator/>
      </w:r>
    </w:p>
  </w:endnote>
  <w:endnote w:type="continuationSeparator" w:id="0">
    <w:p w:rsidR="00227768" w:rsidRDefault="00227768" w:rsidP="00952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229907"/>
      <w:docPartObj>
        <w:docPartGallery w:val="Page Numbers (Bottom of Page)"/>
        <w:docPartUnique/>
      </w:docPartObj>
    </w:sdtPr>
    <w:sdtEndPr>
      <w:rPr>
        <w:noProof/>
      </w:rPr>
    </w:sdtEndPr>
    <w:sdtContent>
      <w:p w:rsidR="0061044D" w:rsidRDefault="0061044D">
        <w:pPr>
          <w:pStyle w:val="Footer"/>
          <w:jc w:val="right"/>
        </w:pPr>
        <w:r>
          <w:fldChar w:fldCharType="begin"/>
        </w:r>
        <w:r>
          <w:instrText xml:space="preserve"> PAGE   \* MERGEFORMAT </w:instrText>
        </w:r>
        <w:r>
          <w:fldChar w:fldCharType="separate"/>
        </w:r>
        <w:r w:rsidR="00891D89">
          <w:rPr>
            <w:noProof/>
          </w:rPr>
          <w:t>11</w:t>
        </w:r>
        <w:r>
          <w:rPr>
            <w:noProof/>
          </w:rPr>
          <w:fldChar w:fldCharType="end"/>
        </w:r>
      </w:p>
    </w:sdtContent>
  </w:sdt>
  <w:p w:rsidR="0061044D" w:rsidRDefault="006104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768" w:rsidRDefault="00227768" w:rsidP="009528AC">
      <w:pPr>
        <w:spacing w:after="0" w:line="240" w:lineRule="auto"/>
      </w:pPr>
      <w:r>
        <w:separator/>
      </w:r>
    </w:p>
  </w:footnote>
  <w:footnote w:type="continuationSeparator" w:id="0">
    <w:p w:rsidR="00227768" w:rsidRDefault="00227768" w:rsidP="009528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0259396"/>
      <w:docPartObj>
        <w:docPartGallery w:val="Watermarks"/>
        <w:docPartUnique/>
      </w:docPartObj>
    </w:sdtPr>
    <w:sdtEndPr/>
    <w:sdtContent>
      <w:p w:rsidR="0061044D" w:rsidRDefault="00891D89">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73F6A"/>
    <w:multiLevelType w:val="hybridMultilevel"/>
    <w:tmpl w:val="937A3A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62CCF"/>
    <w:multiLevelType w:val="hybridMultilevel"/>
    <w:tmpl w:val="83444C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4339DD"/>
    <w:multiLevelType w:val="hybridMultilevel"/>
    <w:tmpl w:val="DB026D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240F8"/>
    <w:multiLevelType w:val="hybridMultilevel"/>
    <w:tmpl w:val="7F1E4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234ED2"/>
    <w:multiLevelType w:val="hybridMultilevel"/>
    <w:tmpl w:val="5CF6BF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12445"/>
    <w:multiLevelType w:val="hybridMultilevel"/>
    <w:tmpl w:val="984AC13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7E733E8"/>
    <w:multiLevelType w:val="hybridMultilevel"/>
    <w:tmpl w:val="F36C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1942D8"/>
    <w:multiLevelType w:val="hybridMultilevel"/>
    <w:tmpl w:val="E94E1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6D0EDC"/>
    <w:multiLevelType w:val="hybridMultilevel"/>
    <w:tmpl w:val="5F98C700"/>
    <w:lvl w:ilvl="0" w:tplc="F10613F4">
      <w:start w:val="1"/>
      <w:numFmt w:val="bullet"/>
      <w:lvlText w:val="•"/>
      <w:lvlJc w:val="left"/>
      <w:pPr>
        <w:tabs>
          <w:tab w:val="num" w:pos="720"/>
        </w:tabs>
        <w:ind w:left="720" w:hanging="360"/>
      </w:pPr>
      <w:rPr>
        <w:rFonts w:ascii="Arial" w:hAnsi="Arial" w:hint="default"/>
      </w:rPr>
    </w:lvl>
    <w:lvl w:ilvl="1" w:tplc="B5BEAEDC">
      <w:start w:val="2307"/>
      <w:numFmt w:val="bullet"/>
      <w:lvlText w:val="–"/>
      <w:lvlJc w:val="left"/>
      <w:pPr>
        <w:tabs>
          <w:tab w:val="num" w:pos="1440"/>
        </w:tabs>
        <w:ind w:left="1440" w:hanging="360"/>
      </w:pPr>
      <w:rPr>
        <w:rFonts w:ascii="Arial" w:hAnsi="Arial" w:hint="default"/>
      </w:rPr>
    </w:lvl>
    <w:lvl w:ilvl="2" w:tplc="B338EB62" w:tentative="1">
      <w:start w:val="1"/>
      <w:numFmt w:val="bullet"/>
      <w:lvlText w:val="•"/>
      <w:lvlJc w:val="left"/>
      <w:pPr>
        <w:tabs>
          <w:tab w:val="num" w:pos="2160"/>
        </w:tabs>
        <w:ind w:left="2160" w:hanging="360"/>
      </w:pPr>
      <w:rPr>
        <w:rFonts w:ascii="Arial" w:hAnsi="Arial" w:hint="default"/>
      </w:rPr>
    </w:lvl>
    <w:lvl w:ilvl="3" w:tplc="BA76B1F8" w:tentative="1">
      <w:start w:val="1"/>
      <w:numFmt w:val="bullet"/>
      <w:lvlText w:val="•"/>
      <w:lvlJc w:val="left"/>
      <w:pPr>
        <w:tabs>
          <w:tab w:val="num" w:pos="2880"/>
        </w:tabs>
        <w:ind w:left="2880" w:hanging="360"/>
      </w:pPr>
      <w:rPr>
        <w:rFonts w:ascii="Arial" w:hAnsi="Arial" w:hint="default"/>
      </w:rPr>
    </w:lvl>
    <w:lvl w:ilvl="4" w:tplc="023CFFC8" w:tentative="1">
      <w:start w:val="1"/>
      <w:numFmt w:val="bullet"/>
      <w:lvlText w:val="•"/>
      <w:lvlJc w:val="left"/>
      <w:pPr>
        <w:tabs>
          <w:tab w:val="num" w:pos="3600"/>
        </w:tabs>
        <w:ind w:left="3600" w:hanging="360"/>
      </w:pPr>
      <w:rPr>
        <w:rFonts w:ascii="Arial" w:hAnsi="Arial" w:hint="default"/>
      </w:rPr>
    </w:lvl>
    <w:lvl w:ilvl="5" w:tplc="4E883A6E" w:tentative="1">
      <w:start w:val="1"/>
      <w:numFmt w:val="bullet"/>
      <w:lvlText w:val="•"/>
      <w:lvlJc w:val="left"/>
      <w:pPr>
        <w:tabs>
          <w:tab w:val="num" w:pos="4320"/>
        </w:tabs>
        <w:ind w:left="4320" w:hanging="360"/>
      </w:pPr>
      <w:rPr>
        <w:rFonts w:ascii="Arial" w:hAnsi="Arial" w:hint="default"/>
      </w:rPr>
    </w:lvl>
    <w:lvl w:ilvl="6" w:tplc="F8522102" w:tentative="1">
      <w:start w:val="1"/>
      <w:numFmt w:val="bullet"/>
      <w:lvlText w:val="•"/>
      <w:lvlJc w:val="left"/>
      <w:pPr>
        <w:tabs>
          <w:tab w:val="num" w:pos="5040"/>
        </w:tabs>
        <w:ind w:left="5040" w:hanging="360"/>
      </w:pPr>
      <w:rPr>
        <w:rFonts w:ascii="Arial" w:hAnsi="Arial" w:hint="default"/>
      </w:rPr>
    </w:lvl>
    <w:lvl w:ilvl="7" w:tplc="A3EE6C80" w:tentative="1">
      <w:start w:val="1"/>
      <w:numFmt w:val="bullet"/>
      <w:lvlText w:val="•"/>
      <w:lvlJc w:val="left"/>
      <w:pPr>
        <w:tabs>
          <w:tab w:val="num" w:pos="5760"/>
        </w:tabs>
        <w:ind w:left="5760" w:hanging="360"/>
      </w:pPr>
      <w:rPr>
        <w:rFonts w:ascii="Arial" w:hAnsi="Arial" w:hint="default"/>
      </w:rPr>
    </w:lvl>
    <w:lvl w:ilvl="8" w:tplc="D0C21C5A" w:tentative="1">
      <w:start w:val="1"/>
      <w:numFmt w:val="bullet"/>
      <w:lvlText w:val="•"/>
      <w:lvlJc w:val="left"/>
      <w:pPr>
        <w:tabs>
          <w:tab w:val="num" w:pos="6480"/>
        </w:tabs>
        <w:ind w:left="6480" w:hanging="360"/>
      </w:pPr>
      <w:rPr>
        <w:rFonts w:ascii="Arial" w:hAnsi="Arial" w:hint="default"/>
      </w:rPr>
    </w:lvl>
  </w:abstractNum>
  <w:abstractNum w:abstractNumId="9">
    <w:nsid w:val="2895096C"/>
    <w:multiLevelType w:val="hybridMultilevel"/>
    <w:tmpl w:val="32927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26C3D"/>
    <w:multiLevelType w:val="hybridMultilevel"/>
    <w:tmpl w:val="5BCE8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423CD2"/>
    <w:multiLevelType w:val="hybridMultilevel"/>
    <w:tmpl w:val="953A3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084E3D"/>
    <w:multiLevelType w:val="hybridMultilevel"/>
    <w:tmpl w:val="395C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5F189A"/>
    <w:multiLevelType w:val="hybridMultilevel"/>
    <w:tmpl w:val="6A3ACAE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C541F1"/>
    <w:multiLevelType w:val="hybridMultilevel"/>
    <w:tmpl w:val="0AD035CC"/>
    <w:lvl w:ilvl="0" w:tplc="91FE4D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FE2C69"/>
    <w:multiLevelType w:val="hybridMultilevel"/>
    <w:tmpl w:val="7A50F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61598"/>
    <w:multiLevelType w:val="hybridMultilevel"/>
    <w:tmpl w:val="59AA5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101673"/>
    <w:multiLevelType w:val="hybridMultilevel"/>
    <w:tmpl w:val="47947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5E261E"/>
    <w:multiLevelType w:val="hybridMultilevel"/>
    <w:tmpl w:val="5EC8AF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6E3FBF"/>
    <w:multiLevelType w:val="hybridMultilevel"/>
    <w:tmpl w:val="03EA90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E64D14"/>
    <w:multiLevelType w:val="hybridMultilevel"/>
    <w:tmpl w:val="D8B2D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B96154"/>
    <w:multiLevelType w:val="hybridMultilevel"/>
    <w:tmpl w:val="89FAC9B4"/>
    <w:lvl w:ilvl="0" w:tplc="0409000B">
      <w:start w:val="1"/>
      <w:numFmt w:val="bullet"/>
      <w:lvlText w:val=""/>
      <w:lvlJc w:val="left"/>
      <w:pPr>
        <w:ind w:left="360" w:hanging="360"/>
      </w:pPr>
      <w:rPr>
        <w:rFonts w:ascii="Wingdings" w:hAnsi="Wingdings" w:hint="default"/>
      </w:rPr>
    </w:lvl>
    <w:lvl w:ilvl="1" w:tplc="0D0CD8F0">
      <w:start w:val="1"/>
      <w:numFmt w:val="bullet"/>
      <w:lvlText w:val=""/>
      <w:lvlJc w:val="left"/>
      <w:pPr>
        <w:ind w:left="1080" w:hanging="360"/>
      </w:pPr>
      <w:rPr>
        <w:rFonts w:ascii="Symbol" w:hAnsi="Symbol" w:hint="default"/>
        <w:b w:val="0"/>
        <w:i w:val="0"/>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F863865"/>
    <w:multiLevelType w:val="hybridMultilevel"/>
    <w:tmpl w:val="81263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C7C713D"/>
    <w:multiLevelType w:val="hybridMultilevel"/>
    <w:tmpl w:val="C8C25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20"/>
  </w:num>
  <w:num w:numId="4">
    <w:abstractNumId w:val="3"/>
  </w:num>
  <w:num w:numId="5">
    <w:abstractNumId w:val="7"/>
  </w:num>
  <w:num w:numId="6">
    <w:abstractNumId w:val="13"/>
  </w:num>
  <w:num w:numId="7">
    <w:abstractNumId w:val="0"/>
  </w:num>
  <w:num w:numId="8">
    <w:abstractNumId w:val="21"/>
  </w:num>
  <w:num w:numId="9">
    <w:abstractNumId w:val="15"/>
  </w:num>
  <w:num w:numId="10">
    <w:abstractNumId w:val="8"/>
  </w:num>
  <w:num w:numId="11">
    <w:abstractNumId w:val="16"/>
  </w:num>
  <w:num w:numId="12">
    <w:abstractNumId w:val="1"/>
  </w:num>
  <w:num w:numId="13">
    <w:abstractNumId w:val="10"/>
  </w:num>
  <w:num w:numId="14">
    <w:abstractNumId w:val="14"/>
  </w:num>
  <w:num w:numId="15">
    <w:abstractNumId w:val="22"/>
  </w:num>
  <w:num w:numId="16">
    <w:abstractNumId w:val="12"/>
  </w:num>
  <w:num w:numId="17">
    <w:abstractNumId w:val="6"/>
  </w:num>
  <w:num w:numId="18">
    <w:abstractNumId w:val="11"/>
  </w:num>
  <w:num w:numId="19">
    <w:abstractNumId w:val="17"/>
  </w:num>
  <w:num w:numId="20">
    <w:abstractNumId w:val="9"/>
  </w:num>
  <w:num w:numId="21">
    <w:abstractNumId w:val="2"/>
  </w:num>
  <w:num w:numId="22">
    <w:abstractNumId w:val="18"/>
  </w:num>
  <w:num w:numId="23">
    <w:abstractNumId w:val="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13B"/>
    <w:rsid w:val="00003100"/>
    <w:rsid w:val="000059F6"/>
    <w:rsid w:val="00006AFD"/>
    <w:rsid w:val="00021782"/>
    <w:rsid w:val="0002253E"/>
    <w:rsid w:val="00026C79"/>
    <w:rsid w:val="00033E1C"/>
    <w:rsid w:val="00046DB0"/>
    <w:rsid w:val="00047088"/>
    <w:rsid w:val="00051E6B"/>
    <w:rsid w:val="00052AB6"/>
    <w:rsid w:val="00053DB9"/>
    <w:rsid w:val="00066456"/>
    <w:rsid w:val="00086D9D"/>
    <w:rsid w:val="00097E02"/>
    <w:rsid w:val="000A6C66"/>
    <w:rsid w:val="000B280D"/>
    <w:rsid w:val="000B3716"/>
    <w:rsid w:val="000B6131"/>
    <w:rsid w:val="000C35A5"/>
    <w:rsid w:val="000C5E04"/>
    <w:rsid w:val="000C6E74"/>
    <w:rsid w:val="000D5FE1"/>
    <w:rsid w:val="000D7AD4"/>
    <w:rsid w:val="000E066F"/>
    <w:rsid w:val="000F667F"/>
    <w:rsid w:val="001034BB"/>
    <w:rsid w:val="00104961"/>
    <w:rsid w:val="00105364"/>
    <w:rsid w:val="00107C92"/>
    <w:rsid w:val="00114C65"/>
    <w:rsid w:val="001173D5"/>
    <w:rsid w:val="0012168B"/>
    <w:rsid w:val="0012170D"/>
    <w:rsid w:val="00124F1E"/>
    <w:rsid w:val="00130314"/>
    <w:rsid w:val="001309E6"/>
    <w:rsid w:val="00133836"/>
    <w:rsid w:val="001402C3"/>
    <w:rsid w:val="001521D1"/>
    <w:rsid w:val="0015221F"/>
    <w:rsid w:val="0015295E"/>
    <w:rsid w:val="001565FD"/>
    <w:rsid w:val="00161D06"/>
    <w:rsid w:val="001774A5"/>
    <w:rsid w:val="001828A9"/>
    <w:rsid w:val="00184A3F"/>
    <w:rsid w:val="0019691C"/>
    <w:rsid w:val="00197039"/>
    <w:rsid w:val="0019779D"/>
    <w:rsid w:val="001A2AA7"/>
    <w:rsid w:val="001A3885"/>
    <w:rsid w:val="001B0113"/>
    <w:rsid w:val="001B1456"/>
    <w:rsid w:val="001B589D"/>
    <w:rsid w:val="001C38CD"/>
    <w:rsid w:val="001D1B62"/>
    <w:rsid w:val="001D4383"/>
    <w:rsid w:val="001D4751"/>
    <w:rsid w:val="001D798E"/>
    <w:rsid w:val="001E2542"/>
    <w:rsid w:val="001E36E1"/>
    <w:rsid w:val="001F1605"/>
    <w:rsid w:val="002045A4"/>
    <w:rsid w:val="00205ACD"/>
    <w:rsid w:val="00215823"/>
    <w:rsid w:val="00217D2B"/>
    <w:rsid w:val="00220051"/>
    <w:rsid w:val="00224B04"/>
    <w:rsid w:val="00227768"/>
    <w:rsid w:val="00227D1E"/>
    <w:rsid w:val="002309F0"/>
    <w:rsid w:val="00231153"/>
    <w:rsid w:val="00232996"/>
    <w:rsid w:val="002338F0"/>
    <w:rsid w:val="00235B01"/>
    <w:rsid w:val="00237BB8"/>
    <w:rsid w:val="0024194E"/>
    <w:rsid w:val="002422B9"/>
    <w:rsid w:val="00251624"/>
    <w:rsid w:val="002533BE"/>
    <w:rsid w:val="00254D4F"/>
    <w:rsid w:val="00255283"/>
    <w:rsid w:val="00265838"/>
    <w:rsid w:val="00285B5F"/>
    <w:rsid w:val="00294AD3"/>
    <w:rsid w:val="002950B8"/>
    <w:rsid w:val="002A22B5"/>
    <w:rsid w:val="002A2A54"/>
    <w:rsid w:val="002A54A7"/>
    <w:rsid w:val="002A5768"/>
    <w:rsid w:val="002A71DC"/>
    <w:rsid w:val="002B1061"/>
    <w:rsid w:val="002B7C9C"/>
    <w:rsid w:val="002C5D29"/>
    <w:rsid w:val="002C7C85"/>
    <w:rsid w:val="002D7E92"/>
    <w:rsid w:val="002E3E81"/>
    <w:rsid w:val="002E77E0"/>
    <w:rsid w:val="002F1C52"/>
    <w:rsid w:val="002F236C"/>
    <w:rsid w:val="002F2D19"/>
    <w:rsid w:val="002F76A7"/>
    <w:rsid w:val="0030128E"/>
    <w:rsid w:val="0030398E"/>
    <w:rsid w:val="00317EB4"/>
    <w:rsid w:val="00320777"/>
    <w:rsid w:val="00320DF3"/>
    <w:rsid w:val="003234D8"/>
    <w:rsid w:val="00323BDD"/>
    <w:rsid w:val="003243BE"/>
    <w:rsid w:val="00336A70"/>
    <w:rsid w:val="00337905"/>
    <w:rsid w:val="00365DB9"/>
    <w:rsid w:val="00366684"/>
    <w:rsid w:val="00382C14"/>
    <w:rsid w:val="003970E1"/>
    <w:rsid w:val="003972B8"/>
    <w:rsid w:val="003A276D"/>
    <w:rsid w:val="003B18D0"/>
    <w:rsid w:val="003B3F0A"/>
    <w:rsid w:val="003C0B6E"/>
    <w:rsid w:val="003D799D"/>
    <w:rsid w:val="003E0CE1"/>
    <w:rsid w:val="003E16CD"/>
    <w:rsid w:val="003E784C"/>
    <w:rsid w:val="003E7C6A"/>
    <w:rsid w:val="00401DC3"/>
    <w:rsid w:val="00405094"/>
    <w:rsid w:val="004270B5"/>
    <w:rsid w:val="004278A9"/>
    <w:rsid w:val="00427D52"/>
    <w:rsid w:val="00431A1C"/>
    <w:rsid w:val="00441254"/>
    <w:rsid w:val="004441D8"/>
    <w:rsid w:val="00451E01"/>
    <w:rsid w:val="00452458"/>
    <w:rsid w:val="00465910"/>
    <w:rsid w:val="00472BC7"/>
    <w:rsid w:val="00472D8C"/>
    <w:rsid w:val="0047680F"/>
    <w:rsid w:val="00481813"/>
    <w:rsid w:val="00482A58"/>
    <w:rsid w:val="00483443"/>
    <w:rsid w:val="00492901"/>
    <w:rsid w:val="004A16BA"/>
    <w:rsid w:val="004A17A1"/>
    <w:rsid w:val="004A59FE"/>
    <w:rsid w:val="004B19FA"/>
    <w:rsid w:val="004B76DC"/>
    <w:rsid w:val="004C0584"/>
    <w:rsid w:val="004C0EA7"/>
    <w:rsid w:val="004C2832"/>
    <w:rsid w:val="004C59C2"/>
    <w:rsid w:val="004D3D29"/>
    <w:rsid w:val="004D7294"/>
    <w:rsid w:val="004E21A0"/>
    <w:rsid w:val="004E3B9B"/>
    <w:rsid w:val="004F020E"/>
    <w:rsid w:val="004F2914"/>
    <w:rsid w:val="00503704"/>
    <w:rsid w:val="00504887"/>
    <w:rsid w:val="00511D91"/>
    <w:rsid w:val="00513493"/>
    <w:rsid w:val="0051757D"/>
    <w:rsid w:val="00523B68"/>
    <w:rsid w:val="00533F6E"/>
    <w:rsid w:val="00534E7A"/>
    <w:rsid w:val="005350A4"/>
    <w:rsid w:val="00535B92"/>
    <w:rsid w:val="00535BD7"/>
    <w:rsid w:val="00542DCF"/>
    <w:rsid w:val="00544104"/>
    <w:rsid w:val="00546CAC"/>
    <w:rsid w:val="005538F0"/>
    <w:rsid w:val="005542BE"/>
    <w:rsid w:val="00556669"/>
    <w:rsid w:val="00556F75"/>
    <w:rsid w:val="005644F0"/>
    <w:rsid w:val="00570F14"/>
    <w:rsid w:val="00573F55"/>
    <w:rsid w:val="0057453F"/>
    <w:rsid w:val="005779EB"/>
    <w:rsid w:val="00583239"/>
    <w:rsid w:val="00585463"/>
    <w:rsid w:val="0059130A"/>
    <w:rsid w:val="005922A1"/>
    <w:rsid w:val="00592C32"/>
    <w:rsid w:val="00593B65"/>
    <w:rsid w:val="00595002"/>
    <w:rsid w:val="005972C1"/>
    <w:rsid w:val="00597D1E"/>
    <w:rsid w:val="005A7BF9"/>
    <w:rsid w:val="005B1B33"/>
    <w:rsid w:val="005B22F4"/>
    <w:rsid w:val="005B41C0"/>
    <w:rsid w:val="005B7630"/>
    <w:rsid w:val="005C0DF3"/>
    <w:rsid w:val="005C691C"/>
    <w:rsid w:val="005E117A"/>
    <w:rsid w:val="005E6566"/>
    <w:rsid w:val="005F0FE8"/>
    <w:rsid w:val="005F2329"/>
    <w:rsid w:val="005F263F"/>
    <w:rsid w:val="005F3A25"/>
    <w:rsid w:val="005F60BC"/>
    <w:rsid w:val="00600D6B"/>
    <w:rsid w:val="00603600"/>
    <w:rsid w:val="00603701"/>
    <w:rsid w:val="00605928"/>
    <w:rsid w:val="00607F42"/>
    <w:rsid w:val="0061044D"/>
    <w:rsid w:val="00611561"/>
    <w:rsid w:val="0061496B"/>
    <w:rsid w:val="00615DFD"/>
    <w:rsid w:val="00627A82"/>
    <w:rsid w:val="00627D89"/>
    <w:rsid w:val="00627F5F"/>
    <w:rsid w:val="00635E57"/>
    <w:rsid w:val="0064565A"/>
    <w:rsid w:val="00651C14"/>
    <w:rsid w:val="00664BF0"/>
    <w:rsid w:val="00673B99"/>
    <w:rsid w:val="006743EC"/>
    <w:rsid w:val="0068420A"/>
    <w:rsid w:val="00685D08"/>
    <w:rsid w:val="00693536"/>
    <w:rsid w:val="0069679D"/>
    <w:rsid w:val="006974E7"/>
    <w:rsid w:val="006A1299"/>
    <w:rsid w:val="006A4090"/>
    <w:rsid w:val="006B164B"/>
    <w:rsid w:val="006C083C"/>
    <w:rsid w:val="006C2122"/>
    <w:rsid w:val="006D27DE"/>
    <w:rsid w:val="006F2FDF"/>
    <w:rsid w:val="006F4A12"/>
    <w:rsid w:val="006F557D"/>
    <w:rsid w:val="00714D46"/>
    <w:rsid w:val="0071661C"/>
    <w:rsid w:val="007225CD"/>
    <w:rsid w:val="007233A4"/>
    <w:rsid w:val="00730AD4"/>
    <w:rsid w:val="00730CA7"/>
    <w:rsid w:val="00737F54"/>
    <w:rsid w:val="00747ED1"/>
    <w:rsid w:val="00751FA6"/>
    <w:rsid w:val="00752238"/>
    <w:rsid w:val="007547D6"/>
    <w:rsid w:val="007565BF"/>
    <w:rsid w:val="00756EBD"/>
    <w:rsid w:val="00767812"/>
    <w:rsid w:val="0078085C"/>
    <w:rsid w:val="007824F0"/>
    <w:rsid w:val="00783E47"/>
    <w:rsid w:val="00786871"/>
    <w:rsid w:val="00792436"/>
    <w:rsid w:val="00794936"/>
    <w:rsid w:val="007A711B"/>
    <w:rsid w:val="007A72A4"/>
    <w:rsid w:val="007B0633"/>
    <w:rsid w:val="007C1CDB"/>
    <w:rsid w:val="007C2DDC"/>
    <w:rsid w:val="007C2ECC"/>
    <w:rsid w:val="007C44E4"/>
    <w:rsid w:val="007D1DCD"/>
    <w:rsid w:val="007D4D2E"/>
    <w:rsid w:val="007E0304"/>
    <w:rsid w:val="007E237F"/>
    <w:rsid w:val="007E4775"/>
    <w:rsid w:val="007E4B46"/>
    <w:rsid w:val="007E5842"/>
    <w:rsid w:val="007E59DD"/>
    <w:rsid w:val="008008C0"/>
    <w:rsid w:val="008052D6"/>
    <w:rsid w:val="00805848"/>
    <w:rsid w:val="00806385"/>
    <w:rsid w:val="00812430"/>
    <w:rsid w:val="00813030"/>
    <w:rsid w:val="00823275"/>
    <w:rsid w:val="00830ADA"/>
    <w:rsid w:val="00832AAA"/>
    <w:rsid w:val="00836435"/>
    <w:rsid w:val="00843D5B"/>
    <w:rsid w:val="00845BEA"/>
    <w:rsid w:val="00863D8E"/>
    <w:rsid w:val="0087486B"/>
    <w:rsid w:val="00875D3A"/>
    <w:rsid w:val="00877298"/>
    <w:rsid w:val="00877BBD"/>
    <w:rsid w:val="008830D6"/>
    <w:rsid w:val="00886BE0"/>
    <w:rsid w:val="00891A4C"/>
    <w:rsid w:val="00891D89"/>
    <w:rsid w:val="00891F25"/>
    <w:rsid w:val="008A392A"/>
    <w:rsid w:val="008A4222"/>
    <w:rsid w:val="008A4DE0"/>
    <w:rsid w:val="008A54A1"/>
    <w:rsid w:val="008B0C1E"/>
    <w:rsid w:val="008B1327"/>
    <w:rsid w:val="008B2208"/>
    <w:rsid w:val="008B27A4"/>
    <w:rsid w:val="008B337B"/>
    <w:rsid w:val="008B7D57"/>
    <w:rsid w:val="008C516A"/>
    <w:rsid w:val="008D12EE"/>
    <w:rsid w:val="008E162A"/>
    <w:rsid w:val="008E19F6"/>
    <w:rsid w:val="008F2DA8"/>
    <w:rsid w:val="008F5D6E"/>
    <w:rsid w:val="00906A46"/>
    <w:rsid w:val="0091304A"/>
    <w:rsid w:val="009142CC"/>
    <w:rsid w:val="00914EB5"/>
    <w:rsid w:val="00916DE7"/>
    <w:rsid w:val="00924B9E"/>
    <w:rsid w:val="00925343"/>
    <w:rsid w:val="00934F2C"/>
    <w:rsid w:val="009363E1"/>
    <w:rsid w:val="00944FC0"/>
    <w:rsid w:val="009470B3"/>
    <w:rsid w:val="009528AC"/>
    <w:rsid w:val="00952C2E"/>
    <w:rsid w:val="009569E4"/>
    <w:rsid w:val="0095790E"/>
    <w:rsid w:val="0099337F"/>
    <w:rsid w:val="009A06B8"/>
    <w:rsid w:val="009A1821"/>
    <w:rsid w:val="009A674E"/>
    <w:rsid w:val="009B1D55"/>
    <w:rsid w:val="009B1DED"/>
    <w:rsid w:val="009B480A"/>
    <w:rsid w:val="009B5E40"/>
    <w:rsid w:val="009C071B"/>
    <w:rsid w:val="009C175D"/>
    <w:rsid w:val="009C1965"/>
    <w:rsid w:val="009D0255"/>
    <w:rsid w:val="009E21FE"/>
    <w:rsid w:val="009F7035"/>
    <w:rsid w:val="009F74F0"/>
    <w:rsid w:val="00A03F07"/>
    <w:rsid w:val="00A0773C"/>
    <w:rsid w:val="00A1155A"/>
    <w:rsid w:val="00A15575"/>
    <w:rsid w:val="00A17730"/>
    <w:rsid w:val="00A25DD8"/>
    <w:rsid w:val="00A3329A"/>
    <w:rsid w:val="00A53AF3"/>
    <w:rsid w:val="00A5601F"/>
    <w:rsid w:val="00A628F7"/>
    <w:rsid w:val="00A63621"/>
    <w:rsid w:val="00A65CDF"/>
    <w:rsid w:val="00A7115B"/>
    <w:rsid w:val="00A7467D"/>
    <w:rsid w:val="00A77638"/>
    <w:rsid w:val="00A80237"/>
    <w:rsid w:val="00A80B89"/>
    <w:rsid w:val="00A81FC0"/>
    <w:rsid w:val="00A93934"/>
    <w:rsid w:val="00AA3374"/>
    <w:rsid w:val="00AA7672"/>
    <w:rsid w:val="00AB3BCA"/>
    <w:rsid w:val="00AB717E"/>
    <w:rsid w:val="00AC0BA8"/>
    <w:rsid w:val="00AC400F"/>
    <w:rsid w:val="00AD0517"/>
    <w:rsid w:val="00AD4845"/>
    <w:rsid w:val="00AD5607"/>
    <w:rsid w:val="00AE4ECD"/>
    <w:rsid w:val="00AE6C31"/>
    <w:rsid w:val="00AF5120"/>
    <w:rsid w:val="00B02A9A"/>
    <w:rsid w:val="00B0531A"/>
    <w:rsid w:val="00B06219"/>
    <w:rsid w:val="00B100AD"/>
    <w:rsid w:val="00B10C95"/>
    <w:rsid w:val="00B151B1"/>
    <w:rsid w:val="00B16AFF"/>
    <w:rsid w:val="00B17696"/>
    <w:rsid w:val="00B2232E"/>
    <w:rsid w:val="00B332E1"/>
    <w:rsid w:val="00B3334D"/>
    <w:rsid w:val="00B360D6"/>
    <w:rsid w:val="00B36F12"/>
    <w:rsid w:val="00B45DEE"/>
    <w:rsid w:val="00B562FE"/>
    <w:rsid w:val="00B60061"/>
    <w:rsid w:val="00B718DC"/>
    <w:rsid w:val="00B722D3"/>
    <w:rsid w:val="00B72748"/>
    <w:rsid w:val="00B84210"/>
    <w:rsid w:val="00B92504"/>
    <w:rsid w:val="00B97464"/>
    <w:rsid w:val="00BB38A4"/>
    <w:rsid w:val="00BB514A"/>
    <w:rsid w:val="00BB5E4C"/>
    <w:rsid w:val="00BC6ABF"/>
    <w:rsid w:val="00BD1BE8"/>
    <w:rsid w:val="00BD3725"/>
    <w:rsid w:val="00BE25B4"/>
    <w:rsid w:val="00BE3204"/>
    <w:rsid w:val="00BE3EE9"/>
    <w:rsid w:val="00BE7BB9"/>
    <w:rsid w:val="00BF43DE"/>
    <w:rsid w:val="00BF4B6A"/>
    <w:rsid w:val="00BF4EFA"/>
    <w:rsid w:val="00BF67EC"/>
    <w:rsid w:val="00C005AB"/>
    <w:rsid w:val="00C03007"/>
    <w:rsid w:val="00C04EF6"/>
    <w:rsid w:val="00C04FDF"/>
    <w:rsid w:val="00C05E37"/>
    <w:rsid w:val="00C07667"/>
    <w:rsid w:val="00C13BA4"/>
    <w:rsid w:val="00C16773"/>
    <w:rsid w:val="00C16FAF"/>
    <w:rsid w:val="00C26796"/>
    <w:rsid w:val="00C26D0D"/>
    <w:rsid w:val="00C318BB"/>
    <w:rsid w:val="00C31E27"/>
    <w:rsid w:val="00C320B4"/>
    <w:rsid w:val="00C360FA"/>
    <w:rsid w:val="00C46971"/>
    <w:rsid w:val="00C46CAB"/>
    <w:rsid w:val="00C472ED"/>
    <w:rsid w:val="00C47D2C"/>
    <w:rsid w:val="00C51824"/>
    <w:rsid w:val="00C5237A"/>
    <w:rsid w:val="00C60DB3"/>
    <w:rsid w:val="00C619AC"/>
    <w:rsid w:val="00C61EA0"/>
    <w:rsid w:val="00C67EA7"/>
    <w:rsid w:val="00C71A22"/>
    <w:rsid w:val="00C71D46"/>
    <w:rsid w:val="00C73518"/>
    <w:rsid w:val="00C74907"/>
    <w:rsid w:val="00C74DA0"/>
    <w:rsid w:val="00C81C86"/>
    <w:rsid w:val="00C8324B"/>
    <w:rsid w:val="00C8408A"/>
    <w:rsid w:val="00C86953"/>
    <w:rsid w:val="00C87084"/>
    <w:rsid w:val="00C921EE"/>
    <w:rsid w:val="00C94EEF"/>
    <w:rsid w:val="00CA0166"/>
    <w:rsid w:val="00CA3852"/>
    <w:rsid w:val="00CA4B06"/>
    <w:rsid w:val="00CA513B"/>
    <w:rsid w:val="00CA6278"/>
    <w:rsid w:val="00CB15B7"/>
    <w:rsid w:val="00CB1610"/>
    <w:rsid w:val="00CB6251"/>
    <w:rsid w:val="00CB71AA"/>
    <w:rsid w:val="00CB7EA8"/>
    <w:rsid w:val="00CC02B4"/>
    <w:rsid w:val="00CC03EA"/>
    <w:rsid w:val="00CC4CF1"/>
    <w:rsid w:val="00CC602F"/>
    <w:rsid w:val="00CC6A19"/>
    <w:rsid w:val="00CD0A64"/>
    <w:rsid w:val="00CD5713"/>
    <w:rsid w:val="00CD6466"/>
    <w:rsid w:val="00CE1596"/>
    <w:rsid w:val="00CE3EBA"/>
    <w:rsid w:val="00CE623A"/>
    <w:rsid w:val="00CF5465"/>
    <w:rsid w:val="00D01259"/>
    <w:rsid w:val="00D1116E"/>
    <w:rsid w:val="00D12D58"/>
    <w:rsid w:val="00D1384F"/>
    <w:rsid w:val="00D14B22"/>
    <w:rsid w:val="00D15570"/>
    <w:rsid w:val="00D15958"/>
    <w:rsid w:val="00D16086"/>
    <w:rsid w:val="00D26BCB"/>
    <w:rsid w:val="00D32899"/>
    <w:rsid w:val="00D334BD"/>
    <w:rsid w:val="00D35C73"/>
    <w:rsid w:val="00D379AA"/>
    <w:rsid w:val="00D41348"/>
    <w:rsid w:val="00D4170A"/>
    <w:rsid w:val="00D47FDE"/>
    <w:rsid w:val="00D5538C"/>
    <w:rsid w:val="00D6261D"/>
    <w:rsid w:val="00D76C78"/>
    <w:rsid w:val="00D8024D"/>
    <w:rsid w:val="00D806FD"/>
    <w:rsid w:val="00D82463"/>
    <w:rsid w:val="00D863D5"/>
    <w:rsid w:val="00D90938"/>
    <w:rsid w:val="00D90976"/>
    <w:rsid w:val="00D939BC"/>
    <w:rsid w:val="00D94C34"/>
    <w:rsid w:val="00DA04B5"/>
    <w:rsid w:val="00DA12FD"/>
    <w:rsid w:val="00DA34FA"/>
    <w:rsid w:val="00DA61C4"/>
    <w:rsid w:val="00DB1A00"/>
    <w:rsid w:val="00DB35D6"/>
    <w:rsid w:val="00DB5F72"/>
    <w:rsid w:val="00DC2ABE"/>
    <w:rsid w:val="00DC45C1"/>
    <w:rsid w:val="00DC7D65"/>
    <w:rsid w:val="00DD1237"/>
    <w:rsid w:val="00DD42D5"/>
    <w:rsid w:val="00DD55F3"/>
    <w:rsid w:val="00DD65F7"/>
    <w:rsid w:val="00DE3859"/>
    <w:rsid w:val="00DF2B92"/>
    <w:rsid w:val="00DF4565"/>
    <w:rsid w:val="00E02E28"/>
    <w:rsid w:val="00E037B1"/>
    <w:rsid w:val="00E04405"/>
    <w:rsid w:val="00E11F71"/>
    <w:rsid w:val="00E20E41"/>
    <w:rsid w:val="00E32CBA"/>
    <w:rsid w:val="00E339A4"/>
    <w:rsid w:val="00E3596C"/>
    <w:rsid w:val="00E40F7B"/>
    <w:rsid w:val="00E4422C"/>
    <w:rsid w:val="00E51260"/>
    <w:rsid w:val="00E535AD"/>
    <w:rsid w:val="00E56E9B"/>
    <w:rsid w:val="00E57983"/>
    <w:rsid w:val="00E61F8F"/>
    <w:rsid w:val="00E64589"/>
    <w:rsid w:val="00E71877"/>
    <w:rsid w:val="00E83E5A"/>
    <w:rsid w:val="00E90849"/>
    <w:rsid w:val="00E91CC0"/>
    <w:rsid w:val="00E96D74"/>
    <w:rsid w:val="00EA2531"/>
    <w:rsid w:val="00EA7500"/>
    <w:rsid w:val="00EA7E70"/>
    <w:rsid w:val="00EB3D4C"/>
    <w:rsid w:val="00EB6509"/>
    <w:rsid w:val="00EC0CBA"/>
    <w:rsid w:val="00EC108A"/>
    <w:rsid w:val="00EC14ED"/>
    <w:rsid w:val="00EC3095"/>
    <w:rsid w:val="00EC356A"/>
    <w:rsid w:val="00EC40B8"/>
    <w:rsid w:val="00EC52FD"/>
    <w:rsid w:val="00EC751B"/>
    <w:rsid w:val="00EE155B"/>
    <w:rsid w:val="00EE2F17"/>
    <w:rsid w:val="00EE3ED1"/>
    <w:rsid w:val="00EE7B31"/>
    <w:rsid w:val="00EF08EB"/>
    <w:rsid w:val="00EF45EE"/>
    <w:rsid w:val="00F03098"/>
    <w:rsid w:val="00F05A55"/>
    <w:rsid w:val="00F12884"/>
    <w:rsid w:val="00F16C5D"/>
    <w:rsid w:val="00F2282F"/>
    <w:rsid w:val="00F23DD7"/>
    <w:rsid w:val="00F3282C"/>
    <w:rsid w:val="00F60C73"/>
    <w:rsid w:val="00F61704"/>
    <w:rsid w:val="00F61F9E"/>
    <w:rsid w:val="00F656FC"/>
    <w:rsid w:val="00F71A33"/>
    <w:rsid w:val="00F745A6"/>
    <w:rsid w:val="00F74A3C"/>
    <w:rsid w:val="00F74D05"/>
    <w:rsid w:val="00F81A4B"/>
    <w:rsid w:val="00F82204"/>
    <w:rsid w:val="00F84999"/>
    <w:rsid w:val="00F9579C"/>
    <w:rsid w:val="00FA2661"/>
    <w:rsid w:val="00FA429D"/>
    <w:rsid w:val="00FB17D7"/>
    <w:rsid w:val="00FB42CE"/>
    <w:rsid w:val="00FB68BC"/>
    <w:rsid w:val="00FB6993"/>
    <w:rsid w:val="00FC3A6F"/>
    <w:rsid w:val="00FC618E"/>
    <w:rsid w:val="00FE5354"/>
    <w:rsid w:val="00FE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8F0"/>
    <w:rPr>
      <w:sz w:val="16"/>
      <w:szCs w:val="16"/>
    </w:rPr>
  </w:style>
  <w:style w:type="paragraph" w:styleId="CommentText">
    <w:name w:val="annotation text"/>
    <w:basedOn w:val="Normal"/>
    <w:link w:val="CommentTextChar"/>
    <w:uiPriority w:val="99"/>
    <w:semiHidden/>
    <w:unhideWhenUsed/>
    <w:rsid w:val="002338F0"/>
    <w:pPr>
      <w:spacing w:line="240" w:lineRule="auto"/>
    </w:pPr>
    <w:rPr>
      <w:sz w:val="20"/>
      <w:szCs w:val="20"/>
    </w:rPr>
  </w:style>
  <w:style w:type="character" w:customStyle="1" w:styleId="CommentTextChar">
    <w:name w:val="Comment Text Char"/>
    <w:basedOn w:val="DefaultParagraphFont"/>
    <w:link w:val="CommentText"/>
    <w:uiPriority w:val="99"/>
    <w:semiHidden/>
    <w:rsid w:val="002338F0"/>
    <w:rPr>
      <w:sz w:val="20"/>
      <w:szCs w:val="20"/>
    </w:rPr>
  </w:style>
  <w:style w:type="paragraph" w:styleId="CommentSubject">
    <w:name w:val="annotation subject"/>
    <w:basedOn w:val="CommentText"/>
    <w:next w:val="CommentText"/>
    <w:link w:val="CommentSubjectChar"/>
    <w:uiPriority w:val="99"/>
    <w:semiHidden/>
    <w:unhideWhenUsed/>
    <w:rsid w:val="002338F0"/>
    <w:rPr>
      <w:b/>
      <w:bCs/>
    </w:rPr>
  </w:style>
  <w:style w:type="character" w:customStyle="1" w:styleId="CommentSubjectChar">
    <w:name w:val="Comment Subject Char"/>
    <w:basedOn w:val="CommentTextChar"/>
    <w:link w:val="CommentSubject"/>
    <w:uiPriority w:val="99"/>
    <w:semiHidden/>
    <w:rsid w:val="002338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1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513B"/>
    <w:rPr>
      <w:rFonts w:ascii="Tahoma" w:hAnsi="Tahoma" w:cs="Tahoma"/>
      <w:sz w:val="16"/>
      <w:szCs w:val="16"/>
    </w:rPr>
  </w:style>
  <w:style w:type="character" w:styleId="Strong">
    <w:name w:val="Strong"/>
    <w:basedOn w:val="DefaultParagraphFont"/>
    <w:qFormat/>
    <w:rsid w:val="00CA513B"/>
    <w:rPr>
      <w:b/>
      <w:bCs/>
    </w:rPr>
  </w:style>
  <w:style w:type="paragraph" w:styleId="NoSpacing">
    <w:name w:val="No Spacing"/>
    <w:uiPriority w:val="1"/>
    <w:qFormat/>
    <w:rsid w:val="00CA513B"/>
    <w:pPr>
      <w:spacing w:after="0" w:line="240" w:lineRule="auto"/>
    </w:pPr>
  </w:style>
  <w:style w:type="character" w:styleId="Hyperlink">
    <w:name w:val="Hyperlink"/>
    <w:basedOn w:val="DefaultParagraphFont"/>
    <w:uiPriority w:val="99"/>
    <w:unhideWhenUsed/>
    <w:rsid w:val="00CA513B"/>
    <w:rPr>
      <w:color w:val="0000FF" w:themeColor="hyperlink"/>
      <w:u w:val="single"/>
    </w:rPr>
  </w:style>
  <w:style w:type="table" w:styleId="TableGrid">
    <w:name w:val="Table Grid"/>
    <w:basedOn w:val="TableNormal"/>
    <w:uiPriority w:val="59"/>
    <w:rsid w:val="0021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l1">
    <w:name w:val="Formal1"/>
    <w:basedOn w:val="Normal"/>
    <w:rsid w:val="00B562FE"/>
    <w:pPr>
      <w:spacing w:before="60" w:after="6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B562FE"/>
    <w:pPr>
      <w:spacing w:after="0" w:line="240" w:lineRule="auto"/>
      <w:ind w:left="720"/>
    </w:pPr>
    <w:rPr>
      <w:rFonts w:ascii="Calibri" w:eastAsia="Calibri" w:hAnsi="Calibri" w:cs="Times New Roman"/>
    </w:rPr>
  </w:style>
  <w:style w:type="table" w:customStyle="1" w:styleId="TableGrid1">
    <w:name w:val="Table Grid1"/>
    <w:basedOn w:val="TableNormal"/>
    <w:next w:val="TableGrid"/>
    <w:rsid w:val="0075223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2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28AC"/>
  </w:style>
  <w:style w:type="paragraph" w:styleId="Footer">
    <w:name w:val="footer"/>
    <w:basedOn w:val="Normal"/>
    <w:link w:val="FooterChar"/>
    <w:uiPriority w:val="99"/>
    <w:unhideWhenUsed/>
    <w:rsid w:val="00952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28AC"/>
  </w:style>
  <w:style w:type="paragraph" w:styleId="NormalWeb">
    <w:name w:val="Normal (Web)"/>
    <w:basedOn w:val="Normal"/>
    <w:uiPriority w:val="99"/>
    <w:semiHidden/>
    <w:unhideWhenUsed/>
    <w:rsid w:val="00C921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
    <w:name w:val="Table Grid11"/>
    <w:basedOn w:val="TableNormal"/>
    <w:next w:val="TableGrid"/>
    <w:rsid w:val="00DC2A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9393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38F0"/>
    <w:rPr>
      <w:sz w:val="16"/>
      <w:szCs w:val="16"/>
    </w:rPr>
  </w:style>
  <w:style w:type="paragraph" w:styleId="CommentText">
    <w:name w:val="annotation text"/>
    <w:basedOn w:val="Normal"/>
    <w:link w:val="CommentTextChar"/>
    <w:uiPriority w:val="99"/>
    <w:semiHidden/>
    <w:unhideWhenUsed/>
    <w:rsid w:val="002338F0"/>
    <w:pPr>
      <w:spacing w:line="240" w:lineRule="auto"/>
    </w:pPr>
    <w:rPr>
      <w:sz w:val="20"/>
      <w:szCs w:val="20"/>
    </w:rPr>
  </w:style>
  <w:style w:type="character" w:customStyle="1" w:styleId="CommentTextChar">
    <w:name w:val="Comment Text Char"/>
    <w:basedOn w:val="DefaultParagraphFont"/>
    <w:link w:val="CommentText"/>
    <w:uiPriority w:val="99"/>
    <w:semiHidden/>
    <w:rsid w:val="002338F0"/>
    <w:rPr>
      <w:sz w:val="20"/>
      <w:szCs w:val="20"/>
    </w:rPr>
  </w:style>
  <w:style w:type="paragraph" w:styleId="CommentSubject">
    <w:name w:val="annotation subject"/>
    <w:basedOn w:val="CommentText"/>
    <w:next w:val="CommentText"/>
    <w:link w:val="CommentSubjectChar"/>
    <w:uiPriority w:val="99"/>
    <w:semiHidden/>
    <w:unhideWhenUsed/>
    <w:rsid w:val="002338F0"/>
    <w:rPr>
      <w:b/>
      <w:bCs/>
    </w:rPr>
  </w:style>
  <w:style w:type="character" w:customStyle="1" w:styleId="CommentSubjectChar">
    <w:name w:val="Comment Subject Char"/>
    <w:basedOn w:val="CommentTextChar"/>
    <w:link w:val="CommentSubject"/>
    <w:uiPriority w:val="99"/>
    <w:semiHidden/>
    <w:rsid w:val="002338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19131">
      <w:bodyDiv w:val="1"/>
      <w:marLeft w:val="0"/>
      <w:marRight w:val="0"/>
      <w:marTop w:val="0"/>
      <w:marBottom w:val="0"/>
      <w:divBdr>
        <w:top w:val="none" w:sz="0" w:space="0" w:color="auto"/>
        <w:left w:val="none" w:sz="0" w:space="0" w:color="auto"/>
        <w:bottom w:val="none" w:sz="0" w:space="0" w:color="auto"/>
        <w:right w:val="none" w:sz="0" w:space="0" w:color="auto"/>
      </w:divBdr>
    </w:div>
    <w:div w:id="653721941">
      <w:bodyDiv w:val="1"/>
      <w:marLeft w:val="0"/>
      <w:marRight w:val="0"/>
      <w:marTop w:val="0"/>
      <w:marBottom w:val="0"/>
      <w:divBdr>
        <w:top w:val="none" w:sz="0" w:space="0" w:color="auto"/>
        <w:left w:val="none" w:sz="0" w:space="0" w:color="auto"/>
        <w:bottom w:val="none" w:sz="0" w:space="0" w:color="auto"/>
        <w:right w:val="none" w:sz="0" w:space="0" w:color="auto"/>
      </w:divBdr>
    </w:div>
    <w:div w:id="1222205642">
      <w:bodyDiv w:val="1"/>
      <w:marLeft w:val="0"/>
      <w:marRight w:val="0"/>
      <w:marTop w:val="0"/>
      <w:marBottom w:val="0"/>
      <w:divBdr>
        <w:top w:val="none" w:sz="0" w:space="0" w:color="auto"/>
        <w:left w:val="none" w:sz="0" w:space="0" w:color="auto"/>
        <w:bottom w:val="none" w:sz="0" w:space="0" w:color="auto"/>
        <w:right w:val="none" w:sz="0" w:space="0" w:color="auto"/>
      </w:divBdr>
      <w:divsChild>
        <w:div w:id="1085224496">
          <w:marLeft w:val="547"/>
          <w:marRight w:val="0"/>
          <w:marTop w:val="115"/>
          <w:marBottom w:val="0"/>
          <w:divBdr>
            <w:top w:val="none" w:sz="0" w:space="0" w:color="auto"/>
            <w:left w:val="none" w:sz="0" w:space="0" w:color="auto"/>
            <w:bottom w:val="none" w:sz="0" w:space="0" w:color="auto"/>
            <w:right w:val="none" w:sz="0" w:space="0" w:color="auto"/>
          </w:divBdr>
        </w:div>
        <w:div w:id="1425876781">
          <w:marLeft w:val="547"/>
          <w:marRight w:val="0"/>
          <w:marTop w:val="115"/>
          <w:marBottom w:val="0"/>
          <w:divBdr>
            <w:top w:val="none" w:sz="0" w:space="0" w:color="auto"/>
            <w:left w:val="none" w:sz="0" w:space="0" w:color="auto"/>
            <w:bottom w:val="none" w:sz="0" w:space="0" w:color="auto"/>
            <w:right w:val="none" w:sz="0" w:space="0" w:color="auto"/>
          </w:divBdr>
        </w:div>
        <w:div w:id="1539009268">
          <w:marLeft w:val="1166"/>
          <w:marRight w:val="0"/>
          <w:marTop w:val="96"/>
          <w:marBottom w:val="0"/>
          <w:divBdr>
            <w:top w:val="none" w:sz="0" w:space="0" w:color="auto"/>
            <w:left w:val="none" w:sz="0" w:space="0" w:color="auto"/>
            <w:bottom w:val="none" w:sz="0" w:space="0" w:color="auto"/>
            <w:right w:val="none" w:sz="0" w:space="0" w:color="auto"/>
          </w:divBdr>
        </w:div>
        <w:div w:id="1025180986">
          <w:marLeft w:val="1166"/>
          <w:marRight w:val="0"/>
          <w:marTop w:val="96"/>
          <w:marBottom w:val="0"/>
          <w:divBdr>
            <w:top w:val="none" w:sz="0" w:space="0" w:color="auto"/>
            <w:left w:val="none" w:sz="0" w:space="0" w:color="auto"/>
            <w:bottom w:val="none" w:sz="0" w:space="0" w:color="auto"/>
            <w:right w:val="none" w:sz="0" w:space="0" w:color="auto"/>
          </w:divBdr>
        </w:div>
        <w:div w:id="727187558">
          <w:marLeft w:val="1166"/>
          <w:marRight w:val="0"/>
          <w:marTop w:val="96"/>
          <w:marBottom w:val="0"/>
          <w:divBdr>
            <w:top w:val="none" w:sz="0" w:space="0" w:color="auto"/>
            <w:left w:val="none" w:sz="0" w:space="0" w:color="auto"/>
            <w:bottom w:val="none" w:sz="0" w:space="0" w:color="auto"/>
            <w:right w:val="none" w:sz="0" w:space="0" w:color="auto"/>
          </w:divBdr>
        </w:div>
        <w:div w:id="1683435409">
          <w:marLeft w:val="1166"/>
          <w:marRight w:val="0"/>
          <w:marTop w:val="96"/>
          <w:marBottom w:val="0"/>
          <w:divBdr>
            <w:top w:val="none" w:sz="0" w:space="0" w:color="auto"/>
            <w:left w:val="none" w:sz="0" w:space="0" w:color="auto"/>
            <w:bottom w:val="none" w:sz="0" w:space="0" w:color="auto"/>
            <w:right w:val="none" w:sz="0" w:space="0" w:color="auto"/>
          </w:divBdr>
        </w:div>
        <w:div w:id="1457136111">
          <w:marLeft w:val="1166"/>
          <w:marRight w:val="0"/>
          <w:marTop w:val="96"/>
          <w:marBottom w:val="0"/>
          <w:divBdr>
            <w:top w:val="none" w:sz="0" w:space="0" w:color="auto"/>
            <w:left w:val="none" w:sz="0" w:space="0" w:color="auto"/>
            <w:bottom w:val="none" w:sz="0" w:space="0" w:color="auto"/>
            <w:right w:val="none" w:sz="0" w:space="0" w:color="auto"/>
          </w:divBdr>
        </w:div>
        <w:div w:id="2116634150">
          <w:marLeft w:val="1166"/>
          <w:marRight w:val="0"/>
          <w:marTop w:val="96"/>
          <w:marBottom w:val="0"/>
          <w:divBdr>
            <w:top w:val="none" w:sz="0" w:space="0" w:color="auto"/>
            <w:left w:val="none" w:sz="0" w:space="0" w:color="auto"/>
            <w:bottom w:val="none" w:sz="0" w:space="0" w:color="auto"/>
            <w:right w:val="none" w:sz="0" w:space="0" w:color="auto"/>
          </w:divBdr>
        </w:div>
      </w:divsChild>
    </w:div>
    <w:div w:id="15203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tuttle@mainequalitycounts.or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 Tancrede</dc:creator>
  <cp:lastModifiedBy>Lise Tancrede</cp:lastModifiedBy>
  <cp:revision>3</cp:revision>
  <cp:lastPrinted>2014-04-08T15:44:00Z</cp:lastPrinted>
  <dcterms:created xsi:type="dcterms:W3CDTF">2014-08-14T18:49:00Z</dcterms:created>
  <dcterms:modified xsi:type="dcterms:W3CDTF">2014-08-14T23:01:00Z</dcterms:modified>
</cp:coreProperties>
</file>